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3B" w:rsidRPr="005A064C" w:rsidRDefault="00D8443B" w:rsidP="00D8443B">
      <w:pPr>
        <w:pStyle w:val="HaupttitelSek1"/>
      </w:pPr>
      <w:r w:rsidRPr="005A064C">
        <w:t xml:space="preserve">Näherungswerte für den Kreisumfang </w:t>
      </w:r>
    </w:p>
    <w:p w:rsidR="00D8443B" w:rsidRPr="005A064C" w:rsidRDefault="00D8443B" w:rsidP="00D8443B">
      <w:pPr>
        <w:pStyle w:val="VorspannSek1"/>
      </w:pPr>
      <w:r w:rsidRPr="005A064C">
        <w:t>Archimedes schreibt:</w:t>
      </w:r>
    </w:p>
    <w:p w:rsidR="00D8443B" w:rsidRPr="005A064C" w:rsidRDefault="00D8443B" w:rsidP="00D8443B">
      <w:pPr>
        <w:pStyle w:val="VorspannSek1"/>
      </w:pPr>
      <w:r w:rsidRPr="005A064C">
        <w:t xml:space="preserve">„Der Umfang eines jeden Kreises ist dreimal so groß als der Durchmesser und noch um etwas größer, nämlich um weniger als ein Siebentel, aber um mehr als zehn </w:t>
      </w:r>
      <w:proofErr w:type="spellStart"/>
      <w:r w:rsidRPr="005A064C">
        <w:t>Einundsiebenzigstel</w:t>
      </w:r>
      <w:proofErr w:type="spellEnd"/>
      <w:r w:rsidRPr="005A064C">
        <w:t xml:space="preserve"> des Durchmessers.“ (Archimedes: Kreismessung. Abschnitt III, S.371)</w:t>
      </w:r>
    </w:p>
    <w:p w:rsidR="00D8443B" w:rsidRPr="005A064C" w:rsidRDefault="00D8443B" w:rsidP="00D8443B">
      <w:pPr>
        <w:pStyle w:val="AufgabeAufzhlungnummeriertSek1"/>
      </w:pPr>
      <w:r w:rsidRPr="005A064C">
        <w:t>Kannst du die im Text versteckten Abschätzungen für den Kreisumfang als Ungleichungen formulieren?</w:t>
      </w:r>
    </w:p>
    <w:p w:rsidR="00D8443B" w:rsidRPr="005A064C" w:rsidRDefault="00D8443B" w:rsidP="00D8443B">
      <w:pPr>
        <w:pStyle w:val="VorspannSek1"/>
      </w:pPr>
      <w:r w:rsidRPr="005A064C">
        <w:t xml:space="preserve">Die </w:t>
      </w:r>
      <w:r>
        <w:t xml:space="preserve">obigen </w:t>
      </w:r>
      <w:r w:rsidRPr="005A064C">
        <w:t>Abschätzungen für den Kreisumfang erhält Archimedes, indem er einem Kreis regelmäßige n-Ecke ein- und umbeschreibt. Genauer: Er betrachtet das einbeschriebene und das umbeschriebene regelmäßige 96-Eck.</w:t>
      </w:r>
    </w:p>
    <w:p w:rsidR="00D8443B" w:rsidRPr="005A064C" w:rsidRDefault="00D8443B" w:rsidP="00D8443B">
      <w:pPr>
        <w:pStyle w:val="AufgabeAufzhlungnummeriertSek1"/>
        <w:rPr>
          <w:rFonts w:eastAsiaTheme="minorEastAsia"/>
        </w:rPr>
      </w:pPr>
      <w:r w:rsidRPr="005A064C">
        <w:rPr>
          <w:rFonts w:eastAsiaTheme="minorEastAsia"/>
        </w:rPr>
        <w:t>Ein rekursives Näherungsverfahren zur Näherung des Kreisumfangs</w:t>
      </w:r>
    </w:p>
    <w:p w:rsidR="00D8443B" w:rsidRPr="005A064C" w:rsidRDefault="00D8443B" w:rsidP="00D8443B">
      <w:pPr>
        <w:pStyle w:val="AufgabeErluterungoEinzugSek1"/>
        <w:rPr>
          <w:rFonts w:eastAsiaTheme="minorEastAsia"/>
        </w:rPr>
      </w:pPr>
      <w:r w:rsidRPr="005A064C">
        <w:rPr>
          <w:rFonts w:eastAsiaTheme="minorEastAsia"/>
        </w:rPr>
        <w:t xml:space="preserve">In der Abbildung siehst du links das ein- und das umbeschriebene regelmäßige Sechseck. Rechts wird am Beispiel </w:t>
      </w:r>
      <w:r w:rsidRPr="005A064C">
        <w:rPr>
          <w:rFonts w:eastAsiaTheme="minorEastAsia"/>
          <w:i/>
        </w:rPr>
        <w:t>n</w:t>
      </w:r>
      <w:r w:rsidRPr="005A064C">
        <w:rPr>
          <w:rFonts w:eastAsiaTheme="minorEastAsia"/>
        </w:rPr>
        <w:t>=6 dargestellt, wie man aus einem einbeschriebenen n-Eck das einbeschriebene 2n-Ec</w:t>
      </w:r>
      <w:bookmarkStart w:id="0" w:name="_GoBack"/>
      <w:bookmarkEnd w:id="0"/>
      <w:r w:rsidRPr="005A064C">
        <w:rPr>
          <w:rFonts w:eastAsiaTheme="minorEastAsia"/>
        </w:rPr>
        <w:t>k erhält.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D8443B" w:rsidRPr="005A064C" w:rsidTr="00093B4D">
        <w:trPr>
          <w:jc w:val="center"/>
        </w:trPr>
        <w:tc>
          <w:tcPr>
            <w:tcW w:w="4606" w:type="dxa"/>
          </w:tcPr>
          <w:p w:rsidR="00D8443B" w:rsidRPr="005A064C" w:rsidRDefault="00D8443B" w:rsidP="00093B4D">
            <w:pPr>
              <w:jc w:val="both"/>
              <w:rPr>
                <w:rFonts w:asciiTheme="minorHAnsi" w:eastAsiaTheme="minorEastAsia" w:hAnsiTheme="minorHAnsi"/>
                <w:b/>
              </w:rPr>
            </w:pPr>
            <w:r w:rsidRPr="005A064C">
              <w:rPr>
                <w:rFonts w:eastAsiaTheme="minor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34F3158" wp14:editId="0024C78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103505</wp:posOffset>
                  </wp:positionV>
                  <wp:extent cx="2607945" cy="2289810"/>
                  <wp:effectExtent l="0" t="0" r="0" b="0"/>
                  <wp:wrapSquare wrapText="bothSides"/>
                  <wp:docPr id="35" name="Grafik 0" descr="KreisPolyg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isPolygon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443B" w:rsidRPr="005A064C" w:rsidRDefault="00D8443B" w:rsidP="00093B4D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5A064C">
              <w:rPr>
                <w:rFonts w:asciiTheme="minorHAnsi" w:eastAsiaTheme="minorEastAsia" w:hAnsiTheme="minorHAnsi"/>
                <w:b/>
                <w:sz w:val="18"/>
                <w:szCs w:val="18"/>
              </w:rPr>
              <w:t>Einbeschriebenes und umbeschriebenes Sechseck</w:t>
            </w:r>
          </w:p>
        </w:tc>
        <w:tc>
          <w:tcPr>
            <w:tcW w:w="4606" w:type="dxa"/>
          </w:tcPr>
          <w:p w:rsidR="00D8443B" w:rsidRPr="005A064C" w:rsidRDefault="00D8443B" w:rsidP="00093B4D">
            <w:pPr>
              <w:jc w:val="both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5A064C">
              <w:rPr>
                <w:rFonts w:eastAsiaTheme="minor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E072F42" wp14:editId="14ACA6B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135255</wp:posOffset>
                  </wp:positionV>
                  <wp:extent cx="2607945" cy="2289810"/>
                  <wp:effectExtent l="0" t="0" r="0" b="0"/>
                  <wp:wrapSquare wrapText="bothSides"/>
                  <wp:docPr id="36" name="Grafik 4" descr="KreisPolygone2.g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isPolygone2.gg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443B" w:rsidRPr="005A064C" w:rsidRDefault="00D8443B" w:rsidP="00093B4D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5A064C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Zusammenhang zwischen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>n</m:t>
              </m:r>
            </m:oMath>
            <w:r w:rsidRPr="005A064C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-Eck und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>n</m:t>
              </m:r>
            </m:oMath>
            <w:r w:rsidRPr="005A064C">
              <w:rPr>
                <w:rFonts w:asciiTheme="minorHAnsi" w:eastAsiaTheme="minorEastAsia" w:hAnsiTheme="minorHAnsi"/>
                <w:b/>
                <w:sz w:val="18"/>
                <w:szCs w:val="18"/>
              </w:rPr>
              <w:t>-Eck</w:t>
            </w:r>
          </w:p>
        </w:tc>
      </w:tr>
    </w:tbl>
    <w:p w:rsidR="00D8443B" w:rsidRPr="00D8443B" w:rsidRDefault="00D8443B" w:rsidP="00D8443B">
      <w:pPr>
        <w:pStyle w:val="AufgabeUnteraufgabemabcSek1"/>
      </w:pPr>
      <w:r w:rsidRPr="005A064C">
        <w:rPr>
          <w:rFonts w:eastAsiaTheme="minorEastAsia"/>
        </w:rPr>
        <w:t xml:space="preserve">Zeige durch Betrachten der Strahlensatzfigur </w:t>
      </w:r>
      <m:oMath>
        <m:r>
          <w:rPr>
            <w:rFonts w:ascii="Cambria Math" w:eastAsiaTheme="minorEastAsia" w:hAnsi="Cambria Math"/>
          </w:rPr>
          <m:t>MC'CZZ'</m:t>
        </m:r>
      </m:oMath>
      <w:r w:rsidRPr="005A064C">
        <w:rPr>
          <w:rFonts w:eastAsiaTheme="minorEastAsia"/>
        </w:rPr>
        <w:t xml:space="preserve"> und des rechtwinkligen Dreiecks </w:t>
      </w:r>
      <m:oMath>
        <m:r>
          <m:rPr>
            <m:sty m:val="p"/>
          </m:rPr>
          <w:rPr>
            <w:rFonts w:ascii="Cambria Math" w:eastAsiaTheme="minorEastAsia"/>
          </w:rPr>
          <m:t>Δ</m:t>
        </m:r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Pr="005A064C">
        <w:rPr>
          <w:rFonts w:eastAsiaTheme="minorEastAsia"/>
        </w:rPr>
        <w:t xml:space="preserve"> (in der linken Figur), dass zwischen der Seitenlänge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5A064C">
        <w:rPr>
          <w:rFonts w:eastAsiaTheme="minorEastAsia"/>
        </w:rPr>
        <w:t xml:space="preserve"> des umbeschriebenen </w:t>
      </w:r>
      <m:oMath>
        <m:r>
          <w:rPr>
            <w:rFonts w:ascii="Cambria Math" w:eastAsiaTheme="minorEastAsia" w:hAnsi="Cambria Math"/>
          </w:rPr>
          <m:t>n</m:t>
        </m:r>
      </m:oMath>
      <w:r w:rsidRPr="005A064C">
        <w:rPr>
          <w:rFonts w:eastAsiaTheme="minorEastAsia"/>
        </w:rPr>
        <w:t xml:space="preserve">-Ecks und der Seitenlänge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5A064C">
        <w:rPr>
          <w:rFonts w:eastAsiaTheme="minorEastAsia"/>
        </w:rPr>
        <w:t xml:space="preserve"> des einbeschriebenen n-Ecks der folgende Zusammenhang besteht:</w:t>
      </w:r>
    </w:p>
    <w:p w:rsidR="00D8443B" w:rsidRPr="005A064C" w:rsidRDefault="00D8443B" w:rsidP="00D8443B">
      <w:pPr>
        <w:pStyle w:val="Listenabsatz"/>
        <w:ind w:left="28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y</m:t>
              </m:r>
            </m:den>
          </m:f>
          <m:r>
            <w:rPr>
              <w:rFonts w:ascii="Cambria Math" w:eastAsiaTheme="minor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</w:rPr>
                    <m:t>1</m:t>
                  </m:r>
                  <m:r>
                    <w:rPr>
                      <w:rFonts w:ascii="Cambria Math" w:eastAsiaTheme="minorEastAsi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8443B" w:rsidRPr="005A064C" w:rsidRDefault="00D8443B" w:rsidP="00D8443B">
      <w:pPr>
        <w:pStyle w:val="AufgabeUnteraufgabemabcSek1"/>
      </w:pPr>
      <w:r w:rsidRPr="005A064C">
        <w:t xml:space="preserve">Anhand der rechten Figur kann man zeigen, dass zwischen den Seitenlängen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A064C">
        <w:rPr>
          <w:rFonts w:eastAsiaTheme="minorEastAsia"/>
        </w:rPr>
        <w:t xml:space="preserve"> des einbeschriebenen n-Ecks und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5A064C">
        <w:rPr>
          <w:rFonts w:eastAsiaTheme="minorEastAsia"/>
        </w:rPr>
        <w:t xml:space="preserve"> des einbeschriebenen 2n-Ecks der folgende Zusammenhang besteht:</w:t>
      </w:r>
    </w:p>
    <w:p w:rsidR="00D8443B" w:rsidRPr="005A064C" w:rsidRDefault="00D8443B" w:rsidP="00D8443B">
      <w:pPr>
        <w:pStyle w:val="Listenabsatz"/>
        <w:ind w:left="28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4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bSup>
                    </m:e>
                  </m:rad>
                </m:e>
              </m:rad>
            </m:den>
          </m:f>
        </m:oMath>
      </m:oMathPara>
    </w:p>
    <w:p w:rsidR="00D8443B" w:rsidRDefault="00D8443B" w:rsidP="00D8443B">
      <w:pPr>
        <w:pStyle w:val="AufgabeUnteraufgabemabcSek1"/>
        <w:numPr>
          <w:ilvl w:val="0"/>
          <w:numId w:val="0"/>
        </w:numPr>
        <w:ind w:left="568"/>
        <w:rPr>
          <w:rFonts w:eastAsiaTheme="minorEastAsia"/>
        </w:rPr>
      </w:pPr>
      <w:r w:rsidRPr="005A064C">
        <w:rPr>
          <w:rFonts w:eastAsiaTheme="minorEastAsia"/>
        </w:rPr>
        <w:t xml:space="preserve">Benutze diesen Zusammenhang und den Zusammenhang aus </w:t>
      </w:r>
      <w:r w:rsidRPr="005A064C">
        <w:rPr>
          <w:rFonts w:eastAsiaTheme="minorEastAsia"/>
          <w:b/>
        </w:rPr>
        <w:t>a)</w:t>
      </w:r>
      <w:r w:rsidRPr="005A064C">
        <w:rPr>
          <w:rFonts w:eastAsiaTheme="minorEastAsia"/>
        </w:rPr>
        <w:t>, um mit Hilfe eines Tabellenkalkulationsprogramms</w:t>
      </w:r>
      <w:r>
        <w:rPr>
          <w:rFonts w:eastAsiaTheme="minorEastAsia"/>
        </w:rPr>
        <w:t>,</w:t>
      </w:r>
      <w:r w:rsidRPr="005A064C">
        <w:rPr>
          <w:rFonts w:eastAsiaTheme="minorEastAsia"/>
        </w:rPr>
        <w:t xml:space="preserve"> ausgehend von regelmäßigen Sechsecken</w:t>
      </w:r>
      <w:r>
        <w:rPr>
          <w:rFonts w:eastAsiaTheme="minorEastAsia"/>
        </w:rPr>
        <w:t>,</w:t>
      </w:r>
      <w:r w:rsidRPr="005A064C">
        <w:rPr>
          <w:rFonts w:eastAsiaTheme="minorEastAsia"/>
        </w:rPr>
        <w:t xml:space="preserve"> eine immer bessere Abschätzung für den Kreisumfang zu erhalten.</w:t>
      </w:r>
    </w:p>
    <w:p w:rsidR="00D8443B" w:rsidRPr="005A064C" w:rsidRDefault="00D8443B" w:rsidP="00D8443B">
      <w:pPr>
        <w:pStyle w:val="AufgabeUnteraufgabemabcSek1"/>
        <w:numPr>
          <w:ilvl w:val="0"/>
          <w:numId w:val="0"/>
        </w:numPr>
        <w:ind w:left="568"/>
        <w:rPr>
          <w:rFonts w:eastAsiaTheme="minorEastAsia"/>
        </w:rPr>
      </w:pPr>
    </w:p>
    <w:p w:rsidR="00D8443B" w:rsidRPr="005A3417" w:rsidRDefault="00D8443B" w:rsidP="00B60633">
      <w:pPr>
        <w:pStyle w:val="AufgabeUnteraufgabemabcSek1"/>
      </w:pPr>
      <w:r w:rsidRPr="005A064C">
        <w:t xml:space="preserve">Welches Ergebnis </w:t>
      </w:r>
      <w:r>
        <w:t>erhältst du in</w:t>
      </w:r>
      <w:r w:rsidRPr="005A064C">
        <w:t xml:space="preserve"> </w:t>
      </w:r>
      <w:r w:rsidRPr="005A064C">
        <w:rPr>
          <w:b/>
        </w:rPr>
        <w:t>b)</w:t>
      </w:r>
      <w:r w:rsidRPr="005A064C">
        <w:t xml:space="preserve"> für n=</w:t>
      </w:r>
      <w:proofErr w:type="gramStart"/>
      <w:r w:rsidRPr="005A064C">
        <w:t>96</w:t>
      </w:r>
      <w:r>
        <w:t xml:space="preserve"> </w:t>
      </w:r>
      <w:r w:rsidRPr="005A064C">
        <w:t>?</w:t>
      </w:r>
      <w:proofErr w:type="gramEnd"/>
      <w:r w:rsidRPr="005A064C">
        <w:t xml:space="preserve"> Vergleiche mit der Abschätzung von Archimedes (Aufgabe 2). Was stellst du fest? </w:t>
      </w:r>
    </w:p>
    <w:sectPr w:rsidR="00D8443B" w:rsidRPr="005A3417" w:rsidSect="00C20F79">
      <w:headerReference w:type="default" r:id="rId9"/>
      <w:footerReference w:type="default" r:id="rId10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9" w:rsidRDefault="00133B39">
      <w:r>
        <w:separator/>
      </w:r>
    </w:p>
  </w:endnote>
  <w:endnote w:type="continuationSeparator" w:id="0">
    <w:p w:rsidR="00133B39" w:rsidRDefault="001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9" w:rsidRDefault="00133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546" w:rsidRDefault="00133B39" w:rsidP="00062546">
                          <w:pPr>
                            <w:pStyle w:val="KopfzeileQuellegestrztSek1"/>
                            <w:rPr>
                              <w:rStyle w:val="ABSekTextbold"/>
                            </w:rPr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proofErr w:type="spellStart"/>
                          <w:r w:rsidR="00062546">
                            <w:t>mathematik</w:t>
                          </w:r>
                          <w:proofErr w:type="spellEnd"/>
                          <w:r w:rsidR="00062546">
                            <w:t xml:space="preserve"> lehren</w:t>
                          </w:r>
                          <w:r w:rsidR="00062546" w:rsidRPr="00FE56A5">
                            <w:t xml:space="preserve">  </w:t>
                          </w:r>
                          <w:r w:rsidR="00D8443B">
                            <w:rPr>
                              <w:rStyle w:val="ABSekTextbold"/>
                            </w:rPr>
                            <w:t>195</w:t>
                          </w:r>
                          <w:r w:rsidR="00062546"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 w:rsidR="00062546" w:rsidRPr="0048027F">
                            <w:rPr>
                              <w:rStyle w:val="ABSekTextbold"/>
                              <w:b w:val="0"/>
                            </w:rPr>
                            <w:t>201</w:t>
                          </w:r>
                          <w:r w:rsidR="00D8443B">
                            <w:rPr>
                              <w:rStyle w:val="ABSekTextbold"/>
                              <w:b w:val="0"/>
                            </w:rPr>
                            <w:t>1</w:t>
                          </w:r>
                          <w:r w:rsidR="00062546">
                            <w:rPr>
                              <w:rStyle w:val="ABSekTextbold"/>
                            </w:rPr>
                            <w:t xml:space="preserve"> </w:t>
                          </w:r>
                          <w:r w:rsidR="00062546" w:rsidRPr="00075AD9">
                            <w:rPr>
                              <w:rStyle w:val="ABSekTextbold"/>
                            </w:rPr>
                            <w:t>|</w:t>
                          </w:r>
                          <w:r w:rsidR="00062546">
                            <w:rPr>
                              <w:rStyle w:val="ABSekTextbold"/>
                            </w:rPr>
                            <w:t xml:space="preserve"> Zum Beitrag S. </w:t>
                          </w:r>
                          <w:r w:rsidR="00D8443B">
                            <w:rPr>
                              <w:rStyle w:val="ABSekTextbold"/>
                            </w:rPr>
                            <w:t>48 - 53</w:t>
                          </w:r>
                        </w:p>
                        <w:p w:rsidR="00133B39" w:rsidRDefault="00062546" w:rsidP="00062546">
                          <w:pPr>
                            <w:pStyle w:val="KopfzeileQuellegestrztSek1"/>
                          </w:pPr>
                          <w:r>
                            <w:t>Q</w:t>
                          </w:r>
                          <w:r w:rsidR="00133B39" w:rsidRPr="00DE19E2">
                            <w:t xml:space="preserve">uellenangaben: </w:t>
                          </w:r>
                          <w:proofErr w:type="spellStart"/>
                          <w:r w:rsidR="00133B39" w:rsidRPr="00DE19E2">
                            <w:t>xxxxxxxxxxxxxxxxxxxxxxxxxxxxxxxxxxxxxxxxxxx</w:t>
                          </w:r>
                          <w:proofErr w:type="spellEnd"/>
                        </w:p>
                        <w:p w:rsidR="00133B39" w:rsidRPr="009D71CD" w:rsidRDefault="00133B39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062546" w:rsidRDefault="00133B39" w:rsidP="00062546">
                    <w:pPr>
                      <w:pStyle w:val="KopfzeileQuellegestrztSek1"/>
                      <w:rPr>
                        <w:rStyle w:val="ABSekTextbold"/>
                      </w:rPr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proofErr w:type="spellStart"/>
                    <w:r w:rsidR="00062546">
                      <w:t>mathematik</w:t>
                    </w:r>
                    <w:proofErr w:type="spellEnd"/>
                    <w:r w:rsidR="00062546">
                      <w:t xml:space="preserve"> lehren</w:t>
                    </w:r>
                    <w:r w:rsidR="00062546" w:rsidRPr="00FE56A5">
                      <w:t xml:space="preserve">  </w:t>
                    </w:r>
                    <w:r w:rsidR="00D8443B">
                      <w:rPr>
                        <w:rStyle w:val="ABSekTextbold"/>
                      </w:rPr>
                      <w:t>195</w:t>
                    </w:r>
                    <w:r w:rsidR="00062546" w:rsidRPr="00075AD9">
                      <w:rPr>
                        <w:rStyle w:val="ABSekTextbold"/>
                      </w:rPr>
                      <w:t xml:space="preserve"> | </w:t>
                    </w:r>
                    <w:r w:rsidR="00062546" w:rsidRPr="0048027F">
                      <w:rPr>
                        <w:rStyle w:val="ABSekTextbold"/>
                        <w:b w:val="0"/>
                      </w:rPr>
                      <w:t>201</w:t>
                    </w:r>
                    <w:r w:rsidR="00D8443B">
                      <w:rPr>
                        <w:rStyle w:val="ABSekTextbold"/>
                        <w:b w:val="0"/>
                      </w:rPr>
                      <w:t>1</w:t>
                    </w:r>
                    <w:r w:rsidR="00062546">
                      <w:rPr>
                        <w:rStyle w:val="ABSekTextbold"/>
                      </w:rPr>
                      <w:t xml:space="preserve"> </w:t>
                    </w:r>
                    <w:r w:rsidR="00062546" w:rsidRPr="00075AD9">
                      <w:rPr>
                        <w:rStyle w:val="ABSekTextbold"/>
                      </w:rPr>
                      <w:t>|</w:t>
                    </w:r>
                    <w:r w:rsidR="00062546">
                      <w:rPr>
                        <w:rStyle w:val="ABSekTextbold"/>
                      </w:rPr>
                      <w:t xml:space="preserve"> Zum Beitrag S. </w:t>
                    </w:r>
                    <w:r w:rsidR="00D8443B">
                      <w:rPr>
                        <w:rStyle w:val="ABSekTextbold"/>
                      </w:rPr>
                      <w:t>48 - 53</w:t>
                    </w:r>
                  </w:p>
                  <w:p w:rsidR="00133B39" w:rsidRDefault="00062546" w:rsidP="00062546">
                    <w:pPr>
                      <w:pStyle w:val="KopfzeileQuellegestrztSek1"/>
                    </w:pPr>
                    <w:r>
                      <w:t>Q</w:t>
                    </w:r>
                    <w:r w:rsidR="00133B39" w:rsidRPr="00DE19E2">
                      <w:t xml:space="preserve">uellenangaben: </w:t>
                    </w:r>
                    <w:proofErr w:type="spellStart"/>
                    <w:r w:rsidR="00133B39" w:rsidRPr="00DE19E2">
                      <w:t>xxxxxxxxxxxxxxxxxxxxxxxxxxxxxxxxxxxxxxxxxxx</w:t>
                    </w:r>
                    <w:proofErr w:type="spellEnd"/>
                  </w:p>
                  <w:p w:rsidR="00133B39" w:rsidRPr="009D71CD" w:rsidRDefault="00133B39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1D3009" w:rsidRDefault="00133B39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133B39" w:rsidRPr="001D3009" w:rsidRDefault="00133B39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9" w:rsidRDefault="00133B39">
      <w:r>
        <w:separator/>
      </w:r>
    </w:p>
  </w:footnote>
  <w:footnote w:type="continuationSeparator" w:id="0">
    <w:p w:rsidR="00133B39" w:rsidRDefault="0013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133B39" w:rsidRPr="00F3762E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  <w:r w:rsidRPr="00F3762E">
            <w:t>Datum: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</w:tr>
  </w:tbl>
  <w:p w:rsidR="00133B39" w:rsidRDefault="00133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EC7C56" w:rsidRDefault="00133B39" w:rsidP="0071685D">
                          <w:pPr>
                            <w:pStyle w:val="KopfzeileArbeitsblattgestrztSek1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133B39" w:rsidRPr="00EC7C56" w:rsidRDefault="00133B39" w:rsidP="0071685D">
                    <w:pPr>
                      <w:pStyle w:val="KopfzeileArbeitsblattgestrztSek1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996A4E" w:rsidRDefault="00D8443B" w:rsidP="0071685D">
                          <w:pPr>
                            <w:pStyle w:val="KopfzeilegrauerKastenmNummerSek1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133B39" w:rsidRPr="00996A4E" w:rsidRDefault="00D8443B" w:rsidP="0071685D">
                    <w:pPr>
                      <w:pStyle w:val="KopfzeilegrauerKastenmNummerSek1"/>
                    </w:pPr>
                    <w: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222B5C"/>
    <w:multiLevelType w:val="hybridMultilevel"/>
    <w:tmpl w:val="17C06BD6"/>
    <w:lvl w:ilvl="0" w:tplc="6E644D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10"/>
  </w:num>
  <w:num w:numId="5">
    <w:abstractNumId w:val="12"/>
  </w:num>
  <w:num w:numId="6">
    <w:abstractNumId w:val="16"/>
  </w:num>
  <w:num w:numId="7">
    <w:abstractNumId w:val="21"/>
  </w:num>
  <w:num w:numId="8">
    <w:abstractNumId w:val="24"/>
  </w:num>
  <w:num w:numId="9">
    <w:abstractNumId w:val="19"/>
  </w:num>
  <w:num w:numId="10">
    <w:abstractNumId w:val="27"/>
  </w:num>
  <w:num w:numId="11">
    <w:abstractNumId w:val="14"/>
  </w:num>
  <w:num w:numId="12">
    <w:abstractNumId w:val="26"/>
  </w:num>
  <w:num w:numId="13">
    <w:abstractNumId w:val="3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3"/>
  </w:num>
  <w:num w:numId="28">
    <w:abstractNumId w:val="30"/>
  </w:num>
  <w:num w:numId="29">
    <w:abstractNumId w:val="18"/>
  </w:num>
  <w:num w:numId="30">
    <w:abstractNumId w:val="22"/>
  </w:num>
  <w:num w:numId="31">
    <w:abstractNumId w:val="23"/>
  </w:num>
  <w:num w:numId="32">
    <w:abstractNumId w:val="30"/>
  </w:num>
  <w:num w:numId="33">
    <w:abstractNumId w:val="18"/>
  </w:num>
  <w:num w:numId="34">
    <w:abstractNumId w:val="22"/>
  </w:num>
  <w:num w:numId="35">
    <w:abstractNumId w:val="17"/>
  </w:num>
  <w:num w:numId="36">
    <w:abstractNumId w:val="31"/>
  </w:num>
  <w:num w:numId="37">
    <w:abstractNumId w:val="25"/>
  </w:num>
  <w:num w:numId="38">
    <w:abstractNumId w:val="33"/>
  </w:num>
  <w:num w:numId="39">
    <w:abstractNumId w:val="13"/>
  </w:num>
  <w:num w:numId="4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2546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42D84"/>
    <w:rsid w:val="00355FE5"/>
    <w:rsid w:val="00365D82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47C96"/>
    <w:rsid w:val="006C2AAE"/>
    <w:rsid w:val="006C303E"/>
    <w:rsid w:val="006C3537"/>
    <w:rsid w:val="006C7DAD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5A27"/>
    <w:rsid w:val="007E75B7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E4526"/>
    <w:rsid w:val="00902824"/>
    <w:rsid w:val="00912E39"/>
    <w:rsid w:val="00916869"/>
    <w:rsid w:val="00922405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7C75"/>
    <w:rsid w:val="00C40EC5"/>
    <w:rsid w:val="00C50AE6"/>
    <w:rsid w:val="00C66B25"/>
    <w:rsid w:val="00CA3452"/>
    <w:rsid w:val="00CB1EC7"/>
    <w:rsid w:val="00CB2ABA"/>
    <w:rsid w:val="00CE6C35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8443B"/>
    <w:rsid w:val="00D96806"/>
    <w:rsid w:val="00D96CA3"/>
    <w:rsid w:val="00DE6284"/>
    <w:rsid w:val="00DF6A53"/>
    <w:rsid w:val="00E252C9"/>
    <w:rsid w:val="00E31814"/>
    <w:rsid w:val="00E8153D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character" w:customStyle="1" w:styleId="ABSekTextbold">
    <w:name w:val="AB_Sek_Text_bold"/>
    <w:rsid w:val="000625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9BC7DE7C.dotm</Template>
  <TotalTime>0</TotalTime>
  <Pages>1</Pages>
  <Words>239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1877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Anne Hilgers [Friedrich Verlag GmbH]</cp:lastModifiedBy>
  <cp:revision>2</cp:revision>
  <cp:lastPrinted>2018-03-16T09:23:00Z</cp:lastPrinted>
  <dcterms:created xsi:type="dcterms:W3CDTF">2019-06-24T07:41:00Z</dcterms:created>
  <dcterms:modified xsi:type="dcterms:W3CDTF">2019-06-24T07:41:00Z</dcterms:modified>
  <cp:category>Autorentemplate</cp:category>
</cp:coreProperties>
</file>