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5C" w:rsidRDefault="00BE6F5C" w:rsidP="005065F6">
      <w:pPr>
        <w:pStyle w:val="HaupttitelSek2"/>
        <w:spacing w:after="0"/>
        <w:jc w:val="both"/>
      </w:pPr>
      <w:r w:rsidRPr="00D51513">
        <w:t>Die Steinzeit im Internet</w:t>
      </w:r>
      <w:r w:rsidR="005065F6">
        <w:t xml:space="preserve">: Lernkontrolle für Eltern/ </w:t>
      </w:r>
      <w:r w:rsidR="00192E96">
        <w:t>Lehrpersonen</w:t>
      </w:r>
    </w:p>
    <w:p w:rsidR="00192E96" w:rsidRPr="00192E96" w:rsidRDefault="00C43CB8" w:rsidP="00192E96">
      <w:pPr>
        <w:pStyle w:val="Z1Sek2"/>
        <w:jc w:val="both"/>
      </w:pPr>
      <w:r>
        <w:t>Teil</w:t>
      </w:r>
      <w:r w:rsidR="00BE6F5C">
        <w:t xml:space="preserve"> 1</w:t>
      </w:r>
    </w:p>
    <w:p w:rsidR="00F65248" w:rsidRPr="005065F6" w:rsidRDefault="00F65248" w:rsidP="00C43CB8">
      <w:pPr>
        <w:pStyle w:val="AufgabeErluterungoEinzugSek2"/>
        <w:rPr>
          <w:b/>
        </w:rPr>
      </w:pPr>
      <w:r w:rsidRPr="005065F6">
        <w:rPr>
          <w:b/>
        </w:rPr>
        <w:t>Antwort 1:</w:t>
      </w:r>
    </w:p>
    <w:p w:rsidR="00F65248" w:rsidRDefault="00F65248" w:rsidP="00C43CB8">
      <w:pPr>
        <w:pStyle w:val="AufgabeErluterungoEinzugSek2"/>
      </w:pPr>
      <w:r>
        <w:t>Der moderne Mensch stammt nach bisherigen Erkenntnissen aus Ostafrika, von wo er sich über die ganze Welt ausbreitete. Neue Ergebnisse einer Forschungsgruppe aus Tübingen (D) liefern jedoch neue Hinweise dafür, dass sich der aufrechte Gang des Menschen in Europa entwickelt hat.</w:t>
      </w:r>
      <w:r w:rsidRPr="00F75FC9">
        <w:t xml:space="preserve"> </w:t>
      </w:r>
      <w:r>
        <w:t>Das Beispiel zeigt uns, wie schnell neue Funde und Quellen ganze Kapitel in Geschichtsbüchern verändern können.</w:t>
      </w:r>
    </w:p>
    <w:p w:rsidR="00F65248" w:rsidRDefault="00F65248" w:rsidP="00C43CB8">
      <w:pPr>
        <w:pStyle w:val="AufgabeErluterungoEinzugSek2"/>
      </w:pPr>
      <w:r>
        <w:t xml:space="preserve">Mehr zur </w:t>
      </w:r>
      <w:r w:rsidRPr="005448C9">
        <w:rPr>
          <w:b/>
        </w:rPr>
        <w:t>Entdeckung des Tübinger Forscherteams</w:t>
      </w:r>
      <w:r>
        <w:t xml:space="preserve"> um Professorin Madeleine Böhme</w:t>
      </w:r>
      <w:r w:rsidR="00192E96">
        <w:t xml:space="preserve">: </w:t>
      </w:r>
      <w:hyperlink r:id="rId8" w:history="1">
        <w:r w:rsidR="00192E96" w:rsidRPr="00134B1C">
          <w:rPr>
            <w:rStyle w:val="Hyperlink"/>
          </w:rPr>
          <w:t>https://www.tagesschau.de/inland/vorfahren-forschung-101.html</w:t>
        </w:r>
      </w:hyperlink>
      <w:r>
        <w:t xml:space="preserve"> </w:t>
      </w:r>
    </w:p>
    <w:p w:rsidR="00192E96" w:rsidRDefault="00192E96" w:rsidP="00C43CB8">
      <w:pPr>
        <w:pStyle w:val="AufgabeErluterungoEinzugSek2"/>
      </w:pPr>
    </w:p>
    <w:p w:rsidR="00F65248" w:rsidRPr="005065F6" w:rsidRDefault="00F65248" w:rsidP="00C43CB8">
      <w:pPr>
        <w:pStyle w:val="AufgabeErluterungoEinzugSek2"/>
        <w:rPr>
          <w:b/>
        </w:rPr>
      </w:pPr>
      <w:r w:rsidRPr="005065F6">
        <w:rPr>
          <w:b/>
        </w:rPr>
        <w:t>Antwort 2:</w:t>
      </w:r>
    </w:p>
    <w:p w:rsidR="00F65248" w:rsidRDefault="00F65248" w:rsidP="00C43CB8">
      <w:pPr>
        <w:pStyle w:val="AufgabeErluterungoEinzugSek2"/>
      </w:pPr>
      <w:r>
        <w:t>Altsteinzeit: Faustkeil, Speerschleuder</w:t>
      </w:r>
    </w:p>
    <w:p w:rsidR="00F65248" w:rsidRDefault="00F65248" w:rsidP="00C43CB8">
      <w:pPr>
        <w:pStyle w:val="AufgabeErluterungoEinzugSek2"/>
      </w:pPr>
      <w:r>
        <w:t xml:space="preserve">Mittelsteinzeit: Harpune, </w:t>
      </w:r>
      <w:proofErr w:type="spellStart"/>
      <w:r>
        <w:t>Mikrolith</w:t>
      </w:r>
      <w:proofErr w:type="spellEnd"/>
      <w:r>
        <w:t xml:space="preserve"> (kleine Steinspitzen z.B. als Pfeilspitzen), Pfeil und Bogen</w:t>
      </w:r>
    </w:p>
    <w:p w:rsidR="00F65248" w:rsidRDefault="00F65248" w:rsidP="00C43CB8">
      <w:pPr>
        <w:pStyle w:val="AufgabeErluterungoEinzugSek2"/>
      </w:pPr>
      <w:r>
        <w:t xml:space="preserve">Jungsteinzeit: Bandkeramik (5500-4500 v. Chr. Bandmuster auf </w:t>
      </w:r>
      <w:proofErr w:type="spellStart"/>
      <w:r>
        <w:t>Gefässen</w:t>
      </w:r>
      <w:proofErr w:type="spellEnd"/>
      <w:r>
        <w:t>), Schnurkerami</w:t>
      </w:r>
      <w:r w:rsidR="00192E96">
        <w:t>k (2800-</w:t>
      </w:r>
      <w:r>
        <w:t xml:space="preserve">2000 v. Chr.) Eindrücke einer Schnur als Verzierung von </w:t>
      </w:r>
      <w:proofErr w:type="spellStart"/>
      <w:r>
        <w:t>Gefässen</w:t>
      </w:r>
      <w:proofErr w:type="spellEnd"/>
      <w:r>
        <w:t>), Streitaxt</w:t>
      </w:r>
    </w:p>
    <w:p w:rsidR="00192E96" w:rsidRDefault="00192E96" w:rsidP="00C43CB8">
      <w:pPr>
        <w:pStyle w:val="AufgabeErluterungoEinzugSek2"/>
      </w:pPr>
    </w:p>
    <w:p w:rsidR="00F65248" w:rsidRPr="005065F6" w:rsidRDefault="00F65248" w:rsidP="00C43CB8">
      <w:pPr>
        <w:pStyle w:val="AufgabeErluterungoEinzugSek2"/>
        <w:rPr>
          <w:b/>
        </w:rPr>
      </w:pPr>
      <w:r w:rsidRPr="005065F6">
        <w:rPr>
          <w:b/>
        </w:rPr>
        <w:t>Antwort 3</w:t>
      </w:r>
      <w:r w:rsidR="00192E96" w:rsidRPr="005065F6">
        <w:rPr>
          <w:b/>
        </w:rPr>
        <w:t>:</w:t>
      </w:r>
    </w:p>
    <w:p w:rsidR="00F65248" w:rsidRDefault="00F65248" w:rsidP="00C43CB8">
      <w:pPr>
        <w:pStyle w:val="AufgabeErluterungoEinzugSek2"/>
      </w:pPr>
      <w:r>
        <w:t>Durch die allmähliche Veränderung des Klimas entwickelten sich neue Tierarten in den Wäldern (Jagd mit Pfeil und Bogen) und das Wasser wurde eisfrei (Fischfang).</w:t>
      </w:r>
    </w:p>
    <w:p w:rsidR="005065F6" w:rsidRDefault="005065F6" w:rsidP="00C43CB8">
      <w:pPr>
        <w:pStyle w:val="AufgabeErluterungoEinzugSek2"/>
      </w:pPr>
    </w:p>
    <w:p w:rsidR="00F65248" w:rsidRPr="00192E96" w:rsidRDefault="00F65248" w:rsidP="00192E96">
      <w:pPr>
        <w:pStyle w:val="HilfeTippSek2"/>
        <w:rPr>
          <w:sz w:val="22"/>
          <w:szCs w:val="22"/>
        </w:rPr>
      </w:pPr>
      <w:r w:rsidRPr="00192E96">
        <w:rPr>
          <w:sz w:val="22"/>
          <w:szCs w:val="22"/>
        </w:rPr>
        <w:t>Weiterführende Informationen zur Frage:</w:t>
      </w:r>
    </w:p>
    <w:p w:rsidR="00F65248" w:rsidRDefault="00192E96" w:rsidP="005065F6">
      <w:pPr>
        <w:pStyle w:val="AufgabeErluterungoEinzugSek2"/>
        <w:spacing w:before="0"/>
      </w:pPr>
      <w:r>
        <w:t>Vor rund 12.</w:t>
      </w:r>
      <w:r w:rsidR="00F65248" w:rsidRPr="006231BE">
        <w:t>000 Jahren veränderte sich durch ein wärmeres und konstantes Klima im Gebiet des Fruchtbaren Halbmondes zwischen dem Persischen Golf und dem Mittelmeer die Tier</w:t>
      </w:r>
      <w:r w:rsidR="00F65248" w:rsidRPr="006231BE">
        <w:noBreakHyphen/>
        <w:t xml:space="preserve"> und Pflanzenwelt. Mit dem Anbau von Getreide und der Zucht von Tieren veränderte der Mensch seine Lebensform grundlegend. Nach Jahrtausenden als Jäger und Sammler begannen Menschen sesshaft zu werden. Diese gru</w:t>
      </w:r>
      <w:r w:rsidR="00142586">
        <w:t>ndlegende Veränderung wird als „neolithische Revolution“</w:t>
      </w:r>
      <w:r w:rsidR="00F65248" w:rsidRPr="006231BE">
        <w:t xml:space="preserve"> bezeichnet. Allerdings erfolgen die Veränderungen nicht schlagartig, sondern waren vorerst durch die klimatischen Unterschiede regional beschränkt und breiteten sich erst allmählich au</w:t>
      </w:r>
      <w:r w:rsidR="00142586">
        <w:t>s. Während im milden Klima des „Fruchtbaren Halbmondes“</w:t>
      </w:r>
      <w:r w:rsidR="00F65248" w:rsidRPr="006231BE">
        <w:t xml:space="preserve"> zwischen dem Persischen Golf und dem heutigen Israel (https://de.wikipedia.org/wiki/Fruchtbarer_Halbmond) erste Siedlungen entstanden, stellten in den kälteren nördlichen Regionen die Menschen immer noch als Jäger und Sammler den Tieren nach. Da der Wechsel zur Sesshaftigkeit über einen längeren Zeit</w:t>
      </w:r>
      <w:r w:rsidR="00142586">
        <w:t>raum erfolgte, ist der Begriff „Evolution“ anstelle von „</w:t>
      </w:r>
      <w:r w:rsidR="00F65248" w:rsidRPr="006231BE">
        <w:t>Revolution</w:t>
      </w:r>
      <w:r w:rsidR="00142586">
        <w:t>“</w:t>
      </w:r>
      <w:r w:rsidR="00F65248" w:rsidRPr="006231BE">
        <w:t xml:space="preserve"> zu erwägen. Mit der Möglichkeit, standorttreue Tiere in den umliegenden Wäldern zu jagen oder als Nutztiere zu domestizieren, war der Mensch nicht mehr gezwungen, den Tieren als Nomaden zu folgen. Zudem konnten im wärmeren Klima Pflanzen als Nahrungsmittel angebaut und Vorräte angelegt werden. Mit der Produktion von genügend Nahrung und dem Anlegen von Vorräten waren nicht mehr alle Mitglieder der Gruppe für die Nahrungsbeschaffung notwendig. Mit dem Ackerbau wurde für die Nahrungsmittelversorgung auch ein kleineres Gebiet benötigt als bei der Versorgung durch die Jagd. Damit konnten sich die Siedlu</w:t>
      </w:r>
      <w:r>
        <w:t>ngsgemeinschaften rasch vergröß</w:t>
      </w:r>
      <w:r w:rsidR="00F65248" w:rsidRPr="006231BE">
        <w:t xml:space="preserve">ern. Mit der Möglichkeit der höheren Produktion an Nahrungsmitteln und der Lagerhaltung entwickelte sich eine neue Wirtschafts- und Gesellschaftsordnung. Diese wurde insbesondere durch die zunehmende Arbeitsteilung und der damit einhergehenden Hierarchisierung der Gesellschaft geprägt. Einzelne Mitglieder der Gemeinschaft begannen als Spezialisten neue Werkzeuge und Produktionsverfahren zu entwickeln. Mit der Produktion von neuen Gütern entwickelte sich auch ein zunehmender Tauschhandel zwischen Rohmaterialien und Fertigprodukten. Mit ersten Verfahren zur Gewinnung von Kupfer (ab ca. 5’000 v. Chr.) und dessen Verarbeitung zu Werkzeugen und Waffen im Gebiet </w:t>
      </w:r>
      <w:r w:rsidR="00142586">
        <w:t>des „Fruchtbaren Halbmondes“</w:t>
      </w:r>
      <w:r w:rsidR="00F65248" w:rsidRPr="006231BE">
        <w:t xml:space="preserve"> beginnt der Übergang von der Steinzeit in die Metallzeit.</w:t>
      </w:r>
    </w:p>
    <w:p w:rsidR="00F65248" w:rsidRPr="00B85E39" w:rsidRDefault="00F65248" w:rsidP="005448C9">
      <w:pPr>
        <w:pStyle w:val="AufgabeErluterungoEinzugSek2"/>
      </w:pPr>
      <w:r w:rsidRPr="00B85E39">
        <w:lastRenderedPageBreak/>
        <w:t>Antwort 4</w:t>
      </w:r>
      <w:r w:rsidR="00192E96">
        <w:t xml:space="preserve">: </w:t>
      </w:r>
    </w:p>
    <w:p w:rsidR="00F65248" w:rsidRDefault="00F65248" w:rsidP="005448C9">
      <w:pPr>
        <w:pStyle w:val="AufgabeErluterungoEinzugSek2"/>
      </w:pPr>
      <w:r>
        <w:t>Die Menschen in der Altsteinzeit lebten von der Jagd. Sie mussten den Tierherden folgen, die auf den kargen Böden in weiten Gebieten nach Nahrung suchten.</w:t>
      </w:r>
    </w:p>
    <w:p w:rsidR="005448C9" w:rsidRDefault="005448C9" w:rsidP="00F65248"/>
    <w:p w:rsidR="00F65248" w:rsidRPr="005448C9" w:rsidRDefault="00F65248" w:rsidP="005448C9">
      <w:pPr>
        <w:pStyle w:val="HilfeTippSek2"/>
        <w:rPr>
          <w:sz w:val="22"/>
          <w:szCs w:val="22"/>
        </w:rPr>
      </w:pPr>
      <w:r w:rsidRPr="005448C9">
        <w:rPr>
          <w:sz w:val="22"/>
          <w:szCs w:val="22"/>
        </w:rPr>
        <w:t>Weiterführende Informationen zur Frage:</w:t>
      </w:r>
    </w:p>
    <w:p w:rsidR="00F65248" w:rsidRDefault="00F65248" w:rsidP="005448C9">
      <w:pPr>
        <w:pStyle w:val="AufgabeErluterungoEinzugSek2"/>
      </w:pPr>
      <w:r w:rsidRPr="006231BE">
        <w:t xml:space="preserve">Ein zentraler Faktor für die Entwicklung und Ausbreitung des Menschen waren die klimatischen Bedingungen in der Altsteinzeit mit schnell wechselnden Übergängen zwischen Kalt- und Warmzeiten. Im ständig wechselnden Klima folgten die Menschen als jagende Nomaden den Tierherden und suchten als Sammler nach essbaren Pflanzen. Als Behausung dienten Zelte, mit welchen sie den Rentierherden und Wildtieren folgten. Der Kampf um Nahrung und Überleben bestimmte das Leben. Anschauliche Darstellungen zur Jagd zeigen Höhlenmalereien der damaligen Menschen (z.B. Höhlenzeichnungen in </w:t>
      </w:r>
      <w:proofErr w:type="spellStart"/>
      <w:r w:rsidRPr="006231BE">
        <w:t>Lascaux</w:t>
      </w:r>
      <w:proofErr w:type="spellEnd"/>
      <w:r w:rsidRPr="006231BE">
        <w:t xml:space="preserve"> in Frankreich). Sie dokumentieren zusammen mit archäologischen Funden von Grabbeigaben und Skulpturen die Kultur und die religiösen Vorstellungen der Menschen in der Steinzeit.</w:t>
      </w:r>
    </w:p>
    <w:p w:rsidR="005448C9" w:rsidRPr="006231BE" w:rsidRDefault="005448C9" w:rsidP="005448C9">
      <w:pPr>
        <w:pStyle w:val="AufgabeErluterungoEinzugSek2"/>
      </w:pPr>
    </w:p>
    <w:p w:rsidR="00F65248" w:rsidRDefault="00F65248" w:rsidP="005448C9">
      <w:pPr>
        <w:pStyle w:val="AufgabeErluterungoEinzugSek2"/>
      </w:pPr>
      <w:r w:rsidRPr="0074213F">
        <w:rPr>
          <w:b/>
          <w:bCs/>
        </w:rPr>
        <w:t xml:space="preserve">Virtueller Besuch der Höhle von </w:t>
      </w:r>
      <w:proofErr w:type="spellStart"/>
      <w:r w:rsidRPr="0074213F">
        <w:rPr>
          <w:b/>
          <w:bCs/>
        </w:rPr>
        <w:t>Lascaux</w:t>
      </w:r>
      <w:proofErr w:type="spellEnd"/>
      <w:r w:rsidRPr="0074213F">
        <w:rPr>
          <w:b/>
          <w:bCs/>
        </w:rPr>
        <w:t>:</w:t>
      </w:r>
      <w:r>
        <w:t xml:space="preserve"> </w:t>
      </w:r>
      <w:hyperlink r:id="rId9" w:history="1">
        <w:r w:rsidR="005448C9" w:rsidRPr="00134B1C">
          <w:rPr>
            <w:rStyle w:val="Hyperlink"/>
          </w:rPr>
          <w:t>https://archeologie.culture.fr/lascaux/de/besichtigung-der-hoehle</w:t>
        </w:r>
      </w:hyperlink>
    </w:p>
    <w:p w:rsidR="005448C9" w:rsidRDefault="005448C9" w:rsidP="00F65248"/>
    <w:p w:rsidR="00007911" w:rsidRDefault="00007911" w:rsidP="00F65248"/>
    <w:p w:rsidR="00007911" w:rsidRDefault="00007911" w:rsidP="00F65248"/>
    <w:p w:rsidR="005448C9" w:rsidRDefault="00F65248" w:rsidP="00F65248">
      <w:pPr>
        <w:rPr>
          <w:b/>
          <w:bCs/>
        </w:rPr>
      </w:pPr>
      <w:r w:rsidRPr="00BC3593">
        <w:rPr>
          <w:b/>
          <w:bCs/>
        </w:rPr>
        <w:t>Teil 2</w:t>
      </w:r>
    </w:p>
    <w:p w:rsidR="00F65248" w:rsidRDefault="00F65248" w:rsidP="005448C9">
      <w:pPr>
        <w:pStyle w:val="AufgabeErluterungoEinzugSek2"/>
      </w:pPr>
      <w:r w:rsidRPr="00BC3593">
        <w:t xml:space="preserve"> </w:t>
      </w:r>
      <w:r>
        <w:t>Lösungsvorschläge zum Unterschied zwischen einer Website/App zu einem Geschichtsbuch:</w:t>
      </w:r>
    </w:p>
    <w:p w:rsidR="005448C9" w:rsidRDefault="005448C9" w:rsidP="005448C9">
      <w:pPr>
        <w:pStyle w:val="AufgabeErluterungoEinzugSek2"/>
      </w:pPr>
    </w:p>
    <w:tbl>
      <w:tblPr>
        <w:tblStyle w:val="Tabellenraster"/>
        <w:tblW w:w="0" w:type="auto"/>
        <w:tblLook w:val="04A0" w:firstRow="1" w:lastRow="0" w:firstColumn="1" w:lastColumn="0" w:noHBand="0" w:noVBand="1"/>
      </w:tblPr>
      <w:tblGrid>
        <w:gridCol w:w="4861"/>
        <w:gridCol w:w="3916"/>
      </w:tblGrid>
      <w:tr w:rsidR="00F65248" w:rsidRPr="0088080F" w:rsidTr="005448C9">
        <w:trPr>
          <w:trHeight w:val="448"/>
        </w:trPr>
        <w:tc>
          <w:tcPr>
            <w:tcW w:w="5028" w:type="dxa"/>
          </w:tcPr>
          <w:p w:rsidR="00F65248" w:rsidRPr="005448C9" w:rsidRDefault="00F65248" w:rsidP="00F65248">
            <w:pPr>
              <w:rPr>
                <w:b/>
                <w:bCs/>
                <w:sz w:val="20"/>
                <w:szCs w:val="20"/>
              </w:rPr>
            </w:pPr>
            <w:r w:rsidRPr="005448C9">
              <w:rPr>
                <w:b/>
                <w:bCs/>
                <w:sz w:val="20"/>
                <w:szCs w:val="20"/>
              </w:rPr>
              <w:t>Website/App</w:t>
            </w:r>
          </w:p>
        </w:tc>
        <w:tc>
          <w:tcPr>
            <w:tcW w:w="4034" w:type="dxa"/>
          </w:tcPr>
          <w:p w:rsidR="00F65248" w:rsidRPr="005448C9" w:rsidRDefault="00F65248" w:rsidP="00F65248">
            <w:pPr>
              <w:rPr>
                <w:b/>
                <w:bCs/>
                <w:sz w:val="20"/>
                <w:szCs w:val="20"/>
              </w:rPr>
            </w:pPr>
            <w:r w:rsidRPr="005448C9">
              <w:rPr>
                <w:b/>
                <w:bCs/>
                <w:sz w:val="20"/>
                <w:szCs w:val="20"/>
              </w:rPr>
              <w:t>Geschichtsbuch</w:t>
            </w:r>
          </w:p>
        </w:tc>
      </w:tr>
      <w:tr w:rsidR="00F65248" w:rsidRPr="0088080F" w:rsidTr="005448C9">
        <w:trPr>
          <w:trHeight w:val="494"/>
        </w:trPr>
        <w:tc>
          <w:tcPr>
            <w:tcW w:w="5028" w:type="dxa"/>
          </w:tcPr>
          <w:p w:rsidR="00F65248" w:rsidRPr="005448C9" w:rsidRDefault="00F65248" w:rsidP="00F65248">
            <w:pPr>
              <w:rPr>
                <w:sz w:val="20"/>
                <w:szCs w:val="20"/>
              </w:rPr>
            </w:pPr>
            <w:r w:rsidRPr="005448C9">
              <w:rPr>
                <w:sz w:val="20"/>
                <w:szCs w:val="20"/>
              </w:rPr>
              <w:t>Nicht lineare Erzählung (Hyperlinks)</w:t>
            </w:r>
          </w:p>
        </w:tc>
        <w:tc>
          <w:tcPr>
            <w:tcW w:w="4034" w:type="dxa"/>
          </w:tcPr>
          <w:p w:rsidR="00F65248" w:rsidRPr="005448C9" w:rsidRDefault="00F65248" w:rsidP="00F65248">
            <w:pPr>
              <w:rPr>
                <w:sz w:val="20"/>
                <w:szCs w:val="20"/>
              </w:rPr>
            </w:pPr>
            <w:r w:rsidRPr="005448C9">
              <w:rPr>
                <w:sz w:val="20"/>
                <w:szCs w:val="20"/>
              </w:rPr>
              <w:t>Lineare Erzählung (z.B. Schulbuch)</w:t>
            </w:r>
          </w:p>
        </w:tc>
      </w:tr>
      <w:tr w:rsidR="00F65248" w:rsidRPr="00BC3593" w:rsidTr="005448C9">
        <w:trPr>
          <w:trHeight w:val="617"/>
        </w:trPr>
        <w:tc>
          <w:tcPr>
            <w:tcW w:w="5028" w:type="dxa"/>
          </w:tcPr>
          <w:p w:rsidR="00F65248" w:rsidRPr="005448C9" w:rsidRDefault="00F65248" w:rsidP="00F65248">
            <w:pPr>
              <w:rPr>
                <w:sz w:val="20"/>
                <w:szCs w:val="20"/>
              </w:rPr>
            </w:pPr>
            <w:r w:rsidRPr="005448C9">
              <w:rPr>
                <w:sz w:val="20"/>
                <w:szCs w:val="20"/>
              </w:rPr>
              <w:t>Stete Veränderung von Inhalten und Quellen erschweren die historische Forschung</w:t>
            </w:r>
          </w:p>
        </w:tc>
        <w:tc>
          <w:tcPr>
            <w:tcW w:w="4034" w:type="dxa"/>
          </w:tcPr>
          <w:p w:rsidR="00F65248" w:rsidRPr="005448C9" w:rsidRDefault="00F65248" w:rsidP="00F65248">
            <w:pPr>
              <w:rPr>
                <w:sz w:val="20"/>
                <w:szCs w:val="20"/>
              </w:rPr>
            </w:pPr>
            <w:r w:rsidRPr="005448C9">
              <w:rPr>
                <w:sz w:val="20"/>
                <w:szCs w:val="20"/>
              </w:rPr>
              <w:t>Statische Inhalte bleiben über einen langen Zeitraum überprüfbar.</w:t>
            </w:r>
          </w:p>
        </w:tc>
      </w:tr>
      <w:tr w:rsidR="00F65248" w:rsidRPr="00BC3593" w:rsidTr="005448C9">
        <w:trPr>
          <w:trHeight w:val="839"/>
        </w:trPr>
        <w:tc>
          <w:tcPr>
            <w:tcW w:w="5028" w:type="dxa"/>
          </w:tcPr>
          <w:p w:rsidR="00F65248" w:rsidRPr="005448C9" w:rsidRDefault="00F65248" w:rsidP="00F65248">
            <w:pPr>
              <w:rPr>
                <w:sz w:val="20"/>
                <w:szCs w:val="20"/>
              </w:rPr>
            </w:pPr>
            <w:r w:rsidRPr="005448C9">
              <w:rPr>
                <w:sz w:val="20"/>
                <w:szCs w:val="20"/>
              </w:rPr>
              <w:t>Kostenlose Inhalte sind häufig durch Werbung finanziert (Abhängigkeit) und es besteht die Möglichkeit des Nutzer-</w:t>
            </w:r>
            <w:proofErr w:type="spellStart"/>
            <w:r w:rsidRPr="005448C9">
              <w:rPr>
                <w:sz w:val="20"/>
                <w:szCs w:val="20"/>
              </w:rPr>
              <w:t>Trackings</w:t>
            </w:r>
            <w:proofErr w:type="spellEnd"/>
            <w:r w:rsidRPr="005448C9">
              <w:rPr>
                <w:sz w:val="20"/>
                <w:szCs w:val="20"/>
              </w:rPr>
              <w:t xml:space="preserve"> (Datenschutz)</w:t>
            </w:r>
          </w:p>
        </w:tc>
        <w:tc>
          <w:tcPr>
            <w:tcW w:w="4034" w:type="dxa"/>
          </w:tcPr>
          <w:p w:rsidR="00F65248" w:rsidRPr="005448C9" w:rsidRDefault="00F65248" w:rsidP="00F65248">
            <w:pPr>
              <w:rPr>
                <w:sz w:val="20"/>
                <w:szCs w:val="20"/>
              </w:rPr>
            </w:pPr>
            <w:r w:rsidRPr="005448C9">
              <w:rPr>
                <w:sz w:val="20"/>
                <w:szCs w:val="20"/>
              </w:rPr>
              <w:t>Der Kaufpreis z.B. eines Buches ermöglicht Unabhängigkeit von Werbung.</w:t>
            </w:r>
          </w:p>
        </w:tc>
      </w:tr>
      <w:tr w:rsidR="00F65248" w:rsidRPr="00BC3593" w:rsidTr="005448C9">
        <w:trPr>
          <w:trHeight w:val="837"/>
        </w:trPr>
        <w:tc>
          <w:tcPr>
            <w:tcW w:w="5028" w:type="dxa"/>
          </w:tcPr>
          <w:p w:rsidR="00F65248" w:rsidRPr="005448C9" w:rsidRDefault="00F65248" w:rsidP="00F65248">
            <w:pPr>
              <w:rPr>
                <w:sz w:val="20"/>
                <w:szCs w:val="20"/>
              </w:rPr>
            </w:pPr>
            <w:r w:rsidRPr="005448C9">
              <w:rPr>
                <w:sz w:val="20"/>
                <w:szCs w:val="20"/>
              </w:rPr>
              <w:t xml:space="preserve">Bei </w:t>
            </w:r>
            <w:proofErr w:type="spellStart"/>
            <w:r w:rsidRPr="005448C9">
              <w:rPr>
                <w:sz w:val="20"/>
                <w:szCs w:val="20"/>
              </w:rPr>
              <w:t>kollaborativ</w:t>
            </w:r>
            <w:proofErr w:type="spellEnd"/>
            <w:r w:rsidRPr="005448C9">
              <w:rPr>
                <w:sz w:val="20"/>
                <w:szCs w:val="20"/>
              </w:rPr>
              <w:t xml:space="preserve"> erarbeiteten Inhalten z.B. Foren sind die Urheber und ihre Meinungen und politischen Positionen oft schwer erkennbar.</w:t>
            </w:r>
          </w:p>
        </w:tc>
        <w:tc>
          <w:tcPr>
            <w:tcW w:w="4034" w:type="dxa"/>
          </w:tcPr>
          <w:p w:rsidR="00F65248" w:rsidRPr="005448C9" w:rsidRDefault="00F65248" w:rsidP="00F65248">
            <w:pPr>
              <w:rPr>
                <w:sz w:val="20"/>
                <w:szCs w:val="20"/>
              </w:rPr>
            </w:pPr>
            <w:r w:rsidRPr="005448C9">
              <w:rPr>
                <w:sz w:val="20"/>
                <w:szCs w:val="20"/>
              </w:rPr>
              <w:t>Zumeist redaktionell überprüft und transparente Autorenschaft.</w:t>
            </w:r>
          </w:p>
        </w:tc>
      </w:tr>
      <w:tr w:rsidR="00F65248" w:rsidRPr="00BC3593" w:rsidTr="005448C9">
        <w:trPr>
          <w:trHeight w:val="707"/>
        </w:trPr>
        <w:tc>
          <w:tcPr>
            <w:tcW w:w="5028" w:type="dxa"/>
          </w:tcPr>
          <w:p w:rsidR="00F65248" w:rsidRPr="005448C9" w:rsidRDefault="00F65248" w:rsidP="00F65248">
            <w:pPr>
              <w:rPr>
                <w:sz w:val="20"/>
                <w:szCs w:val="20"/>
              </w:rPr>
            </w:pPr>
            <w:r w:rsidRPr="005448C9">
              <w:rPr>
                <w:sz w:val="20"/>
                <w:szCs w:val="20"/>
              </w:rPr>
              <w:t>Keine Möglichkeit, Text zu markieren oder selber Notizen hineinzuschreiben</w:t>
            </w:r>
          </w:p>
        </w:tc>
        <w:tc>
          <w:tcPr>
            <w:tcW w:w="4034" w:type="dxa"/>
          </w:tcPr>
          <w:p w:rsidR="00F65248" w:rsidRPr="005448C9" w:rsidRDefault="00F65248" w:rsidP="00F65248">
            <w:pPr>
              <w:rPr>
                <w:sz w:val="20"/>
                <w:szCs w:val="20"/>
              </w:rPr>
            </w:pPr>
            <w:r w:rsidRPr="005448C9">
              <w:rPr>
                <w:sz w:val="20"/>
                <w:szCs w:val="20"/>
              </w:rPr>
              <w:t>Text kann markiert oder Notizen hinzugefügt werden.</w:t>
            </w:r>
          </w:p>
        </w:tc>
      </w:tr>
      <w:tr w:rsidR="00F65248" w:rsidRPr="00BC3593" w:rsidTr="005448C9">
        <w:trPr>
          <w:trHeight w:val="548"/>
        </w:trPr>
        <w:tc>
          <w:tcPr>
            <w:tcW w:w="5028" w:type="dxa"/>
          </w:tcPr>
          <w:p w:rsidR="00F65248" w:rsidRPr="005448C9" w:rsidRDefault="00F65248" w:rsidP="00F65248">
            <w:pPr>
              <w:rPr>
                <w:sz w:val="20"/>
                <w:szCs w:val="20"/>
              </w:rPr>
            </w:pPr>
            <w:r w:rsidRPr="005448C9">
              <w:rPr>
                <w:sz w:val="20"/>
                <w:szCs w:val="20"/>
              </w:rPr>
              <w:t>Unterschiedliche Medienformate wie Texte, Bilder, Videos, Audio, Animationen u.a.m.</w:t>
            </w:r>
          </w:p>
        </w:tc>
        <w:tc>
          <w:tcPr>
            <w:tcW w:w="4034" w:type="dxa"/>
          </w:tcPr>
          <w:p w:rsidR="00F65248" w:rsidRPr="005448C9" w:rsidRDefault="00F65248" w:rsidP="00F65248">
            <w:pPr>
              <w:rPr>
                <w:sz w:val="20"/>
                <w:szCs w:val="20"/>
              </w:rPr>
            </w:pPr>
            <w:r w:rsidRPr="005448C9">
              <w:rPr>
                <w:sz w:val="20"/>
                <w:szCs w:val="20"/>
              </w:rPr>
              <w:t>Nur auf Papier druckbare Inhalte wie Text und Bilder (Zwang des Mediums)</w:t>
            </w:r>
          </w:p>
        </w:tc>
      </w:tr>
    </w:tbl>
    <w:p w:rsidR="00F65248" w:rsidRPr="00BC3593" w:rsidRDefault="00F65248" w:rsidP="00F65248">
      <w:pPr>
        <w:tabs>
          <w:tab w:val="left" w:pos="5103"/>
        </w:tabs>
      </w:pPr>
    </w:p>
    <w:p w:rsidR="002E6DDA" w:rsidRPr="00FA3477" w:rsidRDefault="002E6DDA" w:rsidP="007C2C72">
      <w:pPr>
        <w:pStyle w:val="AufgabeSek2"/>
        <w:spacing w:line="480" w:lineRule="auto"/>
        <w:rPr>
          <w:rStyle w:val="Bold"/>
          <w:b/>
        </w:rPr>
      </w:pPr>
      <w:bookmarkStart w:id="0" w:name="_GoBack"/>
      <w:bookmarkEnd w:id="0"/>
    </w:p>
    <w:sectPr w:rsidR="002E6DDA" w:rsidRPr="00FA3477" w:rsidSect="00281913">
      <w:headerReference w:type="default" r:id="rId10"/>
      <w:footerReference w:type="default" r:id="rId11"/>
      <w:type w:val="continuous"/>
      <w:pgSz w:w="11906" w:h="16838" w:code="9"/>
      <w:pgMar w:top="794"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FF" w:rsidRDefault="00C946FF">
      <w:r>
        <w:separator/>
      </w:r>
    </w:p>
  </w:endnote>
  <w:endnote w:type="continuationSeparator" w:id="0">
    <w:p w:rsidR="00C946FF" w:rsidRDefault="00C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panose1 w:val="020B0504020202020204"/>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FF" w:rsidRDefault="00C946FF">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488054</wp:posOffset>
              </wp:positionH>
              <wp:positionV relativeFrom="margin">
                <wp:align>bottom</wp:align>
              </wp:positionV>
              <wp:extent cx="297320" cy="3568828"/>
              <wp:effectExtent l="0" t="0" r="762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 cy="3568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6FF" w:rsidRDefault="00C946FF" w:rsidP="00C946FF">
                          <w:pPr>
                            <w:pStyle w:val="KopfzeileQuellegestrztSek1"/>
                          </w:pPr>
                          <w:r w:rsidRPr="00FE56A5">
                            <w:t xml:space="preserve">© </w:t>
                          </w:r>
                          <w:r w:rsidRPr="0041397F">
                            <w:t xml:space="preserve">Friedrich Verlag GmbH | </w:t>
                          </w:r>
                          <w:r>
                            <w:t xml:space="preserve">Geschichte lernen 194 </w:t>
                          </w:r>
                          <w:r w:rsidRPr="0041397F">
                            <w:t xml:space="preserve">| </w:t>
                          </w:r>
                          <w:r>
                            <w:t>2020 | A</w:t>
                          </w:r>
                          <w:r w:rsidR="00EB46EC">
                            <w:t>uszug und digitales Lösungs</w:t>
                          </w:r>
                          <w:r>
                            <w:t>material des Beitrags von</w:t>
                          </w:r>
                          <w:r>
                            <w:br/>
                            <w:t>Matthias Häberlin, Geschichte ohne Medienbrüche, S. 34-39.</w:t>
                          </w:r>
                        </w:p>
                        <w:p w:rsidR="00C946FF" w:rsidRPr="009D71CD" w:rsidRDefault="00C946FF" w:rsidP="00946494">
                          <w:pPr>
                            <w:pStyle w:val="KopfzeileQuellegestrztSek1"/>
                          </w:pPr>
                        </w:p>
                        <w:p w:rsidR="00C946FF" w:rsidRPr="009D71CD" w:rsidRDefault="00C946FF" w:rsidP="0041397F">
                          <w:pPr>
                            <w:pStyle w:val="KopfzeileQuellegestrztSek2"/>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8.45pt;margin-top:0;width:23.4pt;height:281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L5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" filled="f" stroked="f">
              <v:textbox style="layout-flow:vertical;mso-layout-flow-alt:bottom-to-top" inset="0,0,0,0">
                <w:txbxContent>
                  <w:p w:rsidR="00C946FF" w:rsidRDefault="00C946FF" w:rsidP="00C946FF">
                    <w:pPr>
                      <w:pStyle w:val="KopfzeileQuellegestrztSek1"/>
                    </w:pPr>
                    <w:r w:rsidRPr="00FE56A5">
                      <w:t xml:space="preserve">© </w:t>
                    </w:r>
                    <w:r w:rsidRPr="0041397F">
                      <w:t xml:space="preserve">Friedrich Verlag GmbH | </w:t>
                    </w:r>
                    <w:r>
                      <w:t xml:space="preserve">Geschichte lernen 194 </w:t>
                    </w:r>
                    <w:r w:rsidRPr="0041397F">
                      <w:t xml:space="preserve">| </w:t>
                    </w:r>
                    <w:r>
                      <w:t>2020 | A</w:t>
                    </w:r>
                    <w:r w:rsidR="00EB46EC">
                      <w:t>uszug und digitales Lösungs</w:t>
                    </w:r>
                    <w:r>
                      <w:t>material des Beitrags von</w:t>
                    </w:r>
                    <w:r>
                      <w:br/>
                      <w:t>Matthias Häberlin, Geschichte ohne Medienbrüche, S. 34-39.</w:t>
                    </w:r>
                  </w:p>
                  <w:p w:rsidR="00C946FF" w:rsidRPr="009D71CD" w:rsidRDefault="00C946FF" w:rsidP="00946494">
                    <w:pPr>
                      <w:pStyle w:val="KopfzeileQuellegestrztSek1"/>
                    </w:pPr>
                  </w:p>
                  <w:p w:rsidR="00C946FF" w:rsidRPr="009D71CD" w:rsidRDefault="00C946FF" w:rsidP="0041397F">
                    <w:pPr>
                      <w:pStyle w:val="KopfzeileQuellegestrztSek2"/>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6FF" w:rsidRPr="001D3009" w:rsidRDefault="00C946FF" w:rsidP="00655CDD">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C946FF" w:rsidRPr="001D3009" w:rsidRDefault="00C946FF" w:rsidP="00655CDD">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FF" w:rsidRDefault="00C946FF">
      <w:r>
        <w:separator/>
      </w:r>
    </w:p>
  </w:footnote>
  <w:footnote w:type="continuationSeparator" w:id="0">
    <w:p w:rsidR="00C946FF" w:rsidRDefault="00C9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 w:type="dxa"/>
      <w:tblLayout w:type="fixed"/>
      <w:tblCellMar>
        <w:left w:w="0" w:type="dxa"/>
        <w:right w:w="0" w:type="dxa"/>
      </w:tblCellMar>
      <w:tblLook w:val="01E0" w:firstRow="1" w:lastRow="1" w:firstColumn="1" w:lastColumn="1" w:noHBand="0" w:noVBand="0"/>
    </w:tblPr>
    <w:tblGrid>
      <w:gridCol w:w="20"/>
    </w:tblGrid>
    <w:tr w:rsidR="00C946FF" w:rsidRPr="00F3762E" w:rsidTr="006B76D4">
      <w:trPr>
        <w:trHeight w:hRule="exact" w:val="227"/>
      </w:trPr>
      <w:tc>
        <w:tcPr>
          <w:tcW w:w="20" w:type="dxa"/>
          <w:shd w:val="clear" w:color="auto" w:fill="auto"/>
        </w:tcPr>
        <w:p w:rsidR="00C946FF" w:rsidRPr="00F3762E" w:rsidRDefault="00C946FF" w:rsidP="001219F2"/>
      </w:tc>
    </w:tr>
  </w:tbl>
  <w:p w:rsidR="00C946FF" w:rsidRPr="001219F2" w:rsidRDefault="00007911" w:rsidP="001219F2">
    <w:pPr>
      <w:pStyle w:val="Kopfzeile"/>
    </w:pPr>
    <w:r>
      <w:rPr>
        <w:noProof/>
      </w:rPr>
      <mc:AlternateContent>
        <mc:Choice Requires="wps">
          <w:drawing>
            <wp:anchor distT="0" distB="0" distL="114300" distR="114300" simplePos="0" relativeHeight="251663360" behindDoc="0" locked="0" layoutInCell="1" allowOverlap="1" wp14:anchorId="12591145" wp14:editId="7DF85104">
              <wp:simplePos x="0" y="0"/>
              <wp:positionH relativeFrom="page">
                <wp:posOffset>495300</wp:posOffset>
              </wp:positionH>
              <wp:positionV relativeFrom="margin">
                <wp:posOffset>90170</wp:posOffset>
              </wp:positionV>
              <wp:extent cx="230002" cy="994410"/>
              <wp:effectExtent l="0" t="0" r="1778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02"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946FF" w:rsidRPr="00EC7C56" w:rsidRDefault="008A6E53" w:rsidP="006B76D4">
                          <w:pPr>
                            <w:jc w:val="right"/>
                          </w:pPr>
                          <w:r>
                            <w:rPr>
                              <w:rFonts w:ascii="Arial Narrow" w:hAnsi="Arial Narrow"/>
                              <w:b/>
                            </w:rPr>
                            <w:t>Lösungs</w:t>
                          </w:r>
                          <w:r w:rsidR="00C946FF">
                            <w:rPr>
                              <w:rFonts w:ascii="Arial Narrow" w:hAnsi="Arial Narrow"/>
                              <w:b/>
                            </w:rPr>
                            <w:t>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91145" id="_x0000_t202" coordsize="21600,21600" o:spt="202" path="m,l,21600r21600,l21600,xe">
              <v:stroke joinstyle="miter"/>
              <v:path gradientshapeok="t" o:connecttype="rect"/>
            </v:shapetype>
            <v:shape id="Text Box 2" o:spid="_x0000_s1026" type="#_x0000_t202" style="position:absolute;margin-left:39pt;margin-top:7.1pt;width:18.1pt;height:7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" filled="f" stroked="f" strokeweight=".25pt">
              <v:textbox style="layout-flow:vertical;mso-layout-flow-alt:bottom-to-top" inset="0,0,0,0">
                <w:txbxContent>
                  <w:p w:rsidR="00C946FF" w:rsidRPr="00EC7C56" w:rsidRDefault="008A6E53" w:rsidP="006B76D4">
                    <w:pPr>
                      <w:jc w:val="right"/>
                    </w:pPr>
                    <w:r>
                      <w:rPr>
                        <w:rFonts w:ascii="Arial Narrow" w:hAnsi="Arial Narrow"/>
                        <w:b/>
                      </w:rPr>
                      <w:t>Lösungs</w:t>
                    </w:r>
                    <w:r w:rsidR="00C946FF">
                      <w:rPr>
                        <w:rFonts w:ascii="Arial Narrow" w:hAnsi="Arial Narrow"/>
                        <w:b/>
                      </w:rPr>
                      <w:t>blatt</w:t>
                    </w:r>
                  </w:p>
                </w:txbxContent>
              </v:textbox>
              <w10:wrap anchorx="page" anchory="margin"/>
            </v:shape>
          </w:pict>
        </mc:Fallback>
      </mc:AlternateContent>
    </w:r>
    <w:r w:rsidR="00C946FF">
      <w:rPr>
        <w:noProof/>
      </w:rPr>
      <mc:AlternateContent>
        <mc:Choice Requires="wps">
          <w:drawing>
            <wp:anchor distT="0" distB="0" distL="114300" distR="114300" simplePos="0" relativeHeight="251662336" behindDoc="0" locked="0" layoutInCell="1" allowOverlap="1" wp14:anchorId="7ED4F148" wp14:editId="4A394813">
              <wp:simplePos x="0" y="0"/>
              <wp:positionH relativeFrom="margin">
                <wp:posOffset>-738505</wp:posOffset>
              </wp:positionH>
              <wp:positionV relativeFrom="margin">
                <wp:posOffset>-315595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6FF" w:rsidRPr="00996A4E" w:rsidRDefault="00C946FF" w:rsidP="003B502A">
                          <w:pPr>
                            <w:pStyle w:val="KopfzeilegrauerKastenmNummerSek2"/>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F148" id="Text Box 1" o:spid="_x0000_s1027" type="#_x0000_t202" style="position:absolute;margin-left:-58.15pt;margin-top:-24.85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8keg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" fillcolor="#adaead" stroked="f">
              <v:textbox inset="0,0,0,0">
                <w:txbxContent>
                  <w:p w:rsidR="00C946FF" w:rsidRPr="00996A4E" w:rsidRDefault="00C946FF" w:rsidP="003B502A">
                    <w:pPr>
                      <w:pStyle w:val="KopfzeilegrauerKastenmNummerSek2"/>
                    </w:pPr>
                    <w:r>
                      <w:t>1</w:t>
                    </w:r>
                  </w:p>
                </w:txbxContent>
              </v:textbox>
              <w10:wrap anchorx="margin" anchory="margin"/>
            </v:shape>
          </w:pict>
        </mc:Fallback>
      </mc:AlternateContent>
    </w:r>
    <w:r w:rsidR="00C946FF">
      <w:rPr>
        <w:noProof/>
      </w:rPr>
      <mc:AlternateContent>
        <mc:Choice Requires="wps">
          <w:drawing>
            <wp:anchor distT="0" distB="0" distL="114300" distR="114300" simplePos="0" relativeHeight="251665408" behindDoc="0" locked="0" layoutInCell="1" allowOverlap="1" wp14:anchorId="3A48F533" wp14:editId="1BF36AFD">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07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sidR="00C946FF">
      <w:rPr>
        <w:noProof/>
      </w:rPr>
      <mc:AlternateContent>
        <mc:Choice Requires="wps">
          <w:drawing>
            <wp:anchor distT="0" distB="0" distL="114300" distR="114300" simplePos="0" relativeHeight="251664384" behindDoc="0" locked="0" layoutInCell="1" allowOverlap="1" wp14:anchorId="645C2DFF" wp14:editId="3F5D716B">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EBB0"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9F6159"/>
    <w:multiLevelType w:val="hybridMultilevel"/>
    <w:tmpl w:val="D02CC2EA"/>
    <w:lvl w:ilvl="0" w:tplc="9F38C512">
      <w:start w:val="1"/>
      <w:numFmt w:val="bullet"/>
      <w:pStyle w:val="AufgabeUnteraufgabemAufzhlungspunktSek2"/>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AEE6212"/>
    <w:multiLevelType w:val="hybridMultilevel"/>
    <w:tmpl w:val="752CAA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8444A35E"/>
    <w:lvl w:ilvl="0" w:tplc="B510CBF8">
      <w:start w:val="1"/>
      <w:numFmt w:val="decimal"/>
      <w:pStyle w:val="AufgabeAufzhlungnummeriertSek2"/>
      <w:lvlText w:val="%1."/>
      <w:lvlJc w:val="left"/>
      <w:pPr>
        <w:tabs>
          <w:tab w:val="num" w:pos="284"/>
        </w:tabs>
        <w:ind w:left="284" w:hanging="28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11A1E"/>
    <w:multiLevelType w:val="hybridMultilevel"/>
    <w:tmpl w:val="3BFE00AC"/>
    <w:lvl w:ilvl="0" w:tplc="00BA30DA">
      <w:start w:val="1"/>
      <w:numFmt w:val="bullet"/>
      <w:pStyle w:val="LesetextAufzhlungmSpiegelstrichSek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896238"/>
    <w:multiLevelType w:val="hybridMultilevel"/>
    <w:tmpl w:val="88B29956"/>
    <w:lvl w:ilvl="0" w:tplc="1AA0DD8C">
      <w:start w:val="1"/>
      <w:numFmt w:val="bullet"/>
      <w:pStyle w:val="FlietextAufzhlungmSpiegelstrichSek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620491"/>
    <w:multiLevelType w:val="hybridMultilevel"/>
    <w:tmpl w:val="7D468764"/>
    <w:lvl w:ilvl="0" w:tplc="B0100834">
      <w:start w:val="1"/>
      <w:numFmt w:val="bullet"/>
      <w:pStyle w:val="AufgabeUnteraufgabemSpiegelstrichSek2"/>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46F84"/>
    <w:multiLevelType w:val="hybridMultilevel"/>
    <w:tmpl w:val="45CABF50"/>
    <w:lvl w:ilvl="0" w:tplc="5AF291C6">
      <w:start w:val="1"/>
      <w:numFmt w:val="bullet"/>
      <w:pStyle w:val="HilfeTippSek2"/>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314AE"/>
    <w:multiLevelType w:val="hybridMultilevel"/>
    <w:tmpl w:val="36CEE67C"/>
    <w:lvl w:ilvl="0" w:tplc="51E8A998">
      <w:start w:val="1"/>
      <w:numFmt w:val="bullet"/>
      <w:pStyle w:val="AufgabeAufzhlungmSpiegelstrichSek2"/>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65E5634"/>
    <w:multiLevelType w:val="hybridMultilevel"/>
    <w:tmpl w:val="525E5F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D4A45E4"/>
    <w:multiLevelType w:val="hybridMultilevel"/>
    <w:tmpl w:val="9362AC74"/>
    <w:lvl w:ilvl="0" w:tplc="3A98367C">
      <w:start w:val="1"/>
      <w:numFmt w:val="lowerLetter"/>
      <w:pStyle w:val="AufgabeUnteraufgabemabcSek2"/>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3"/>
  </w:num>
  <w:num w:numId="3">
    <w:abstractNumId w:val="20"/>
  </w:num>
  <w:num w:numId="4">
    <w:abstractNumId w:val="10"/>
  </w:num>
  <w:num w:numId="5">
    <w:abstractNumId w:val="11"/>
  </w:num>
  <w:num w:numId="6">
    <w:abstractNumId w:val="15"/>
  </w:num>
  <w:num w:numId="7">
    <w:abstractNumId w:val="21"/>
  </w:num>
  <w:num w:numId="8">
    <w:abstractNumId w:val="24"/>
  </w:num>
  <w:num w:numId="9">
    <w:abstractNumId w:val="19"/>
  </w:num>
  <w:num w:numId="10">
    <w:abstractNumId w:val="28"/>
  </w:num>
  <w:num w:numId="11">
    <w:abstractNumId w:val="13"/>
  </w:num>
  <w:num w:numId="12">
    <w:abstractNumId w:val="27"/>
  </w:num>
  <w:num w:numId="13">
    <w:abstractNumId w:val="31"/>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3"/>
  </w:num>
  <w:num w:numId="28">
    <w:abstractNumId w:val="31"/>
  </w:num>
  <w:num w:numId="29">
    <w:abstractNumId w:val="18"/>
  </w:num>
  <w:num w:numId="30">
    <w:abstractNumId w:val="22"/>
  </w:num>
  <w:num w:numId="31">
    <w:abstractNumId w:val="23"/>
  </w:num>
  <w:num w:numId="32">
    <w:abstractNumId w:val="31"/>
  </w:num>
  <w:num w:numId="33">
    <w:abstractNumId w:val="18"/>
  </w:num>
  <w:num w:numId="34">
    <w:abstractNumId w:val="22"/>
  </w:num>
  <w:num w:numId="35">
    <w:abstractNumId w:val="17"/>
  </w:num>
  <w:num w:numId="36">
    <w:abstractNumId w:val="32"/>
  </w:num>
  <w:num w:numId="37">
    <w:abstractNumId w:val="25"/>
  </w:num>
  <w:num w:numId="38">
    <w:abstractNumId w:val="25"/>
  </w:num>
  <w:num w:numId="39">
    <w:abstractNumId w:val="26"/>
  </w:num>
  <w:num w:numId="40">
    <w:abstractNumId w:val="35"/>
  </w:num>
  <w:num w:numId="41">
    <w:abstractNumId w:val="12"/>
  </w:num>
  <w:num w:numId="42">
    <w:abstractNumId w:val="16"/>
  </w:num>
  <w:num w:numId="4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11CE"/>
    <w:rsid w:val="00003AD9"/>
    <w:rsid w:val="00007911"/>
    <w:rsid w:val="00010CB5"/>
    <w:rsid w:val="00017429"/>
    <w:rsid w:val="00073DB5"/>
    <w:rsid w:val="00075AD9"/>
    <w:rsid w:val="000777F5"/>
    <w:rsid w:val="000A03C9"/>
    <w:rsid w:val="000A7221"/>
    <w:rsid w:val="000C3BA0"/>
    <w:rsid w:val="000D18AA"/>
    <w:rsid w:val="000D321F"/>
    <w:rsid w:val="00116D22"/>
    <w:rsid w:val="001219F2"/>
    <w:rsid w:val="00133C8C"/>
    <w:rsid w:val="00142586"/>
    <w:rsid w:val="0015296F"/>
    <w:rsid w:val="001754FC"/>
    <w:rsid w:val="00192E96"/>
    <w:rsid w:val="001A4D29"/>
    <w:rsid w:val="001B770D"/>
    <w:rsid w:val="001D055E"/>
    <w:rsid w:val="001D3009"/>
    <w:rsid w:val="001E0393"/>
    <w:rsid w:val="001E33E1"/>
    <w:rsid w:val="001E379A"/>
    <w:rsid w:val="001E46EB"/>
    <w:rsid w:val="001E6C6F"/>
    <w:rsid w:val="00232AC4"/>
    <w:rsid w:val="00243B7F"/>
    <w:rsid w:val="002459D3"/>
    <w:rsid w:val="002529B6"/>
    <w:rsid w:val="00252B44"/>
    <w:rsid w:val="00256DE3"/>
    <w:rsid w:val="00261976"/>
    <w:rsid w:val="00281913"/>
    <w:rsid w:val="002B1A02"/>
    <w:rsid w:val="002B4CF8"/>
    <w:rsid w:val="002C0684"/>
    <w:rsid w:val="002D452E"/>
    <w:rsid w:val="002D6B95"/>
    <w:rsid w:val="002E6DDA"/>
    <w:rsid w:val="00342D84"/>
    <w:rsid w:val="00365D82"/>
    <w:rsid w:val="0038001A"/>
    <w:rsid w:val="00395C04"/>
    <w:rsid w:val="00397039"/>
    <w:rsid w:val="003A5EA0"/>
    <w:rsid w:val="003B502A"/>
    <w:rsid w:val="003B70B3"/>
    <w:rsid w:val="003C28C7"/>
    <w:rsid w:val="003D1F84"/>
    <w:rsid w:val="003F0F62"/>
    <w:rsid w:val="003F4B54"/>
    <w:rsid w:val="0041397F"/>
    <w:rsid w:val="00416658"/>
    <w:rsid w:val="00420A61"/>
    <w:rsid w:val="00440CB5"/>
    <w:rsid w:val="004468C4"/>
    <w:rsid w:val="00451499"/>
    <w:rsid w:val="00461662"/>
    <w:rsid w:val="004809CB"/>
    <w:rsid w:val="00490EDF"/>
    <w:rsid w:val="00490EE9"/>
    <w:rsid w:val="004B0EEC"/>
    <w:rsid w:val="004F7AEB"/>
    <w:rsid w:val="005012BE"/>
    <w:rsid w:val="005065F6"/>
    <w:rsid w:val="005105CC"/>
    <w:rsid w:val="00520951"/>
    <w:rsid w:val="005424F9"/>
    <w:rsid w:val="005448C9"/>
    <w:rsid w:val="00556E4D"/>
    <w:rsid w:val="00565A44"/>
    <w:rsid w:val="00571CC6"/>
    <w:rsid w:val="005A3417"/>
    <w:rsid w:val="005A5A50"/>
    <w:rsid w:val="005B31F1"/>
    <w:rsid w:val="005C21D1"/>
    <w:rsid w:val="005D1B53"/>
    <w:rsid w:val="005D2685"/>
    <w:rsid w:val="005E7450"/>
    <w:rsid w:val="00610664"/>
    <w:rsid w:val="0061092E"/>
    <w:rsid w:val="00655CDD"/>
    <w:rsid w:val="00681C8A"/>
    <w:rsid w:val="006955EF"/>
    <w:rsid w:val="006B76D4"/>
    <w:rsid w:val="006C303E"/>
    <w:rsid w:val="006C3537"/>
    <w:rsid w:val="006C7DAD"/>
    <w:rsid w:val="00701DBD"/>
    <w:rsid w:val="0070461C"/>
    <w:rsid w:val="00711596"/>
    <w:rsid w:val="00716830"/>
    <w:rsid w:val="0071685D"/>
    <w:rsid w:val="00733172"/>
    <w:rsid w:val="00737DA2"/>
    <w:rsid w:val="00747AF5"/>
    <w:rsid w:val="0075188A"/>
    <w:rsid w:val="007522CA"/>
    <w:rsid w:val="007907DD"/>
    <w:rsid w:val="007B3C30"/>
    <w:rsid w:val="007C2C72"/>
    <w:rsid w:val="007C326D"/>
    <w:rsid w:val="007D72B0"/>
    <w:rsid w:val="007E75B7"/>
    <w:rsid w:val="008060E3"/>
    <w:rsid w:val="008213A3"/>
    <w:rsid w:val="0083313F"/>
    <w:rsid w:val="008511D4"/>
    <w:rsid w:val="00874836"/>
    <w:rsid w:val="00881639"/>
    <w:rsid w:val="0089023C"/>
    <w:rsid w:val="008925A0"/>
    <w:rsid w:val="008950B4"/>
    <w:rsid w:val="008A6E53"/>
    <w:rsid w:val="008C408A"/>
    <w:rsid w:val="008C4DF1"/>
    <w:rsid w:val="008F389E"/>
    <w:rsid w:val="00904BE0"/>
    <w:rsid w:val="00912E39"/>
    <w:rsid w:val="00916869"/>
    <w:rsid w:val="00916FA7"/>
    <w:rsid w:val="00922405"/>
    <w:rsid w:val="00946494"/>
    <w:rsid w:val="00961173"/>
    <w:rsid w:val="00963867"/>
    <w:rsid w:val="00986E22"/>
    <w:rsid w:val="00996A4E"/>
    <w:rsid w:val="00996EFB"/>
    <w:rsid w:val="009D1754"/>
    <w:rsid w:val="009D71CD"/>
    <w:rsid w:val="009E17DB"/>
    <w:rsid w:val="00A0141C"/>
    <w:rsid w:val="00A12131"/>
    <w:rsid w:val="00A64D1C"/>
    <w:rsid w:val="00A879EB"/>
    <w:rsid w:val="00AC2B65"/>
    <w:rsid w:val="00AC6377"/>
    <w:rsid w:val="00AD1903"/>
    <w:rsid w:val="00AD261D"/>
    <w:rsid w:val="00AD6338"/>
    <w:rsid w:val="00AE61ED"/>
    <w:rsid w:val="00B05520"/>
    <w:rsid w:val="00B143C3"/>
    <w:rsid w:val="00B174BC"/>
    <w:rsid w:val="00B206C0"/>
    <w:rsid w:val="00B87A57"/>
    <w:rsid w:val="00B97AC4"/>
    <w:rsid w:val="00BE2F5B"/>
    <w:rsid w:val="00BE6F5C"/>
    <w:rsid w:val="00BF5CE4"/>
    <w:rsid w:val="00C40EC5"/>
    <w:rsid w:val="00C43CB8"/>
    <w:rsid w:val="00C50AE6"/>
    <w:rsid w:val="00C66B25"/>
    <w:rsid w:val="00C85AC1"/>
    <w:rsid w:val="00C946FF"/>
    <w:rsid w:val="00CA3452"/>
    <w:rsid w:val="00CA64B6"/>
    <w:rsid w:val="00CB1EC7"/>
    <w:rsid w:val="00CB2ABA"/>
    <w:rsid w:val="00D005C2"/>
    <w:rsid w:val="00D04454"/>
    <w:rsid w:val="00D47E3A"/>
    <w:rsid w:val="00D608C9"/>
    <w:rsid w:val="00D6201E"/>
    <w:rsid w:val="00D67CA7"/>
    <w:rsid w:val="00D776CE"/>
    <w:rsid w:val="00D96806"/>
    <w:rsid w:val="00D96CA3"/>
    <w:rsid w:val="00DB1371"/>
    <w:rsid w:val="00DB37C2"/>
    <w:rsid w:val="00DC151D"/>
    <w:rsid w:val="00DE6284"/>
    <w:rsid w:val="00DF6A53"/>
    <w:rsid w:val="00E252C9"/>
    <w:rsid w:val="00E31814"/>
    <w:rsid w:val="00E95C16"/>
    <w:rsid w:val="00EB46EC"/>
    <w:rsid w:val="00EC7659"/>
    <w:rsid w:val="00ED4F83"/>
    <w:rsid w:val="00EE421A"/>
    <w:rsid w:val="00F113A1"/>
    <w:rsid w:val="00F25F5A"/>
    <w:rsid w:val="00F435C4"/>
    <w:rsid w:val="00F514E6"/>
    <w:rsid w:val="00F65248"/>
    <w:rsid w:val="00F7336E"/>
    <w:rsid w:val="00F83F93"/>
    <w:rsid w:val="00FA3477"/>
    <w:rsid w:val="00FB257A"/>
    <w:rsid w:val="00FD5289"/>
    <w:rsid w:val="00FD7117"/>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iPriority="0"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34"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qFormat/>
    <w:locked/>
    <w:rsid w:val="00AC6377"/>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22"/>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20"/>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2">
    <w:name w:val="Obertitel_Sek2"/>
    <w:basedOn w:val="HaupttitelSek2"/>
    <w:qFormat/>
    <w:locked/>
    <w:rsid w:val="006C3537"/>
    <w:pPr>
      <w:spacing w:after="120" w:line="200" w:lineRule="exact"/>
    </w:pPr>
    <w:rPr>
      <w:caps/>
      <w:color w:val="7F7F7F" w:themeColor="text1" w:themeTint="80"/>
      <w:sz w:val="16"/>
    </w:rPr>
  </w:style>
  <w:style w:type="paragraph" w:customStyle="1" w:styleId="Z2Sek2">
    <w:name w:val="ZÜ2_Sek2"/>
    <w:uiPriority w:val="8"/>
    <w:qFormat/>
    <w:locked/>
    <w:rsid w:val="00996EFB"/>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2">
    <w:name w:val="Aufgabe_Erläuterung_o_Einzug_Sek2"/>
    <w:uiPriority w:val="15"/>
    <w:qFormat/>
    <w:locked/>
    <w:rsid w:val="00A0141C"/>
    <w:pPr>
      <w:spacing w:before="40" w:line="280" w:lineRule="exact"/>
    </w:pPr>
    <w:rPr>
      <w:rFonts w:ascii="Arial" w:hAnsi="Arial"/>
    </w:rPr>
  </w:style>
  <w:style w:type="paragraph" w:customStyle="1" w:styleId="AufgabeSek2">
    <w:name w:val="Aufgabe_Sek2"/>
    <w:uiPriority w:val="12"/>
    <w:rsid w:val="00B206C0"/>
    <w:pPr>
      <w:spacing w:line="280" w:lineRule="exact"/>
    </w:pPr>
    <w:rPr>
      <w:rFonts w:ascii="Arial" w:hAnsi="Arial"/>
      <w:b/>
      <w:szCs w:val="24"/>
    </w:rPr>
  </w:style>
  <w:style w:type="paragraph" w:customStyle="1" w:styleId="AufgabeAufzhlungnummeriertSek2">
    <w:name w:val="Aufgabe_Aufzählung_nummeriert_Sek2"/>
    <w:uiPriority w:val="13"/>
    <w:rsid w:val="00556E4D"/>
    <w:pPr>
      <w:numPr>
        <w:numId w:val="7"/>
      </w:numPr>
      <w:spacing w:before="160" w:line="260" w:lineRule="exact"/>
    </w:pPr>
    <w:rPr>
      <w:rFonts w:ascii="Arial" w:hAnsi="Arial"/>
      <w:b/>
      <w:szCs w:val="24"/>
    </w:rPr>
  </w:style>
  <w:style w:type="paragraph" w:customStyle="1" w:styleId="AufgabeUnteraufgabemSpiegelstrichSek2">
    <w:name w:val="Aufgabe_Unteraufgabe_m_Spiegelstrich_Sek2"/>
    <w:uiPriority w:val="17"/>
    <w:rsid w:val="005012BE"/>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2">
    <w:name w:val="Hilfe/Tipp_Sek2"/>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DC151D"/>
    <w:rPr>
      <w:i/>
    </w:rPr>
  </w:style>
  <w:style w:type="paragraph" w:customStyle="1" w:styleId="LesetextFlattersatzSek2">
    <w:name w:val="Lesetext_Flattersatz_Sek2"/>
    <w:uiPriority w:val="4"/>
    <w:rsid w:val="00681C8A"/>
    <w:pPr>
      <w:spacing w:line="26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2">
    <w:name w:val="Bildunterschrift_Sek2"/>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2">
    <w:name w:val="Haupttitel_Sek2"/>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2">
    <w:name w:val="Lesetext_Aufzählung_m_Spiegelstrich_Sek2"/>
    <w:uiPriority w:val="6"/>
    <w:unhideWhenUsed/>
    <w:qFormat/>
    <w:rsid w:val="000777F5"/>
    <w:pPr>
      <w:numPr>
        <w:numId w:val="37"/>
      </w:numPr>
      <w:spacing w:line="26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2">
    <w:name w:val="Quelle_Sek2"/>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2">
    <w:name w:val="Vorspann_Sek2"/>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2">
    <w:name w:val="ZÜ1_Sek2"/>
    <w:uiPriority w:val="7"/>
    <w:unhideWhenUsed/>
    <w:rsid w:val="00996EFB"/>
    <w:pPr>
      <w:spacing w:before="340" w:after="160" w:line="260" w:lineRule="exact"/>
    </w:pPr>
    <w:rPr>
      <w:rFonts w:ascii="Arial" w:hAnsi="Arial"/>
      <w:b/>
      <w:color w:val="000000" w:themeColor="text1"/>
      <w:sz w:val="21"/>
      <w:szCs w:val="24"/>
    </w:rPr>
  </w:style>
  <w:style w:type="paragraph" w:customStyle="1" w:styleId="KopfzeileArbeitsblattgestrztSek2">
    <w:name w:val="Kopfzeile_Arbeitsblatt_gestürzt_Sek2"/>
    <w:uiPriority w:val="24"/>
    <w:rsid w:val="00D96806"/>
    <w:pPr>
      <w:spacing w:line="280" w:lineRule="exact"/>
      <w:jc w:val="right"/>
    </w:pPr>
    <w:rPr>
      <w:rFonts w:ascii="Arial Narrow" w:hAnsi="Arial Narrow"/>
      <w:b/>
      <w:sz w:val="24"/>
      <w:szCs w:val="24"/>
    </w:rPr>
  </w:style>
  <w:style w:type="paragraph" w:customStyle="1" w:styleId="KopfzeilegrauerKastenmNummerSek2">
    <w:name w:val="Kopfzeile_grauer_Kasten_m_Nummer_Sek2"/>
    <w:uiPriority w:val="25"/>
    <w:rsid w:val="00D96806"/>
    <w:pPr>
      <w:spacing w:line="220" w:lineRule="exact"/>
      <w:jc w:val="center"/>
    </w:pPr>
    <w:rPr>
      <w:rFonts w:ascii="Arial" w:hAnsi="Arial"/>
      <w:b/>
      <w:color w:val="FFFFFF"/>
      <w:sz w:val="18"/>
      <w:szCs w:val="24"/>
    </w:rPr>
  </w:style>
  <w:style w:type="paragraph" w:customStyle="1" w:styleId="KopfzeileNameDatumThemaSek2">
    <w:name w:val="Kopfzeile_Name_Datum_Thema_Sek2"/>
    <w:uiPriority w:val="26"/>
    <w:rsid w:val="0071685D"/>
    <w:rPr>
      <w:rFonts w:ascii="Arial" w:eastAsia="Arial Unicode MS" w:hAnsi="Arial" w:cs="Arial"/>
      <w:sz w:val="14"/>
      <w:szCs w:val="24"/>
      <w:lang w:eastAsia="ko-KR"/>
    </w:rPr>
  </w:style>
  <w:style w:type="paragraph" w:customStyle="1" w:styleId="AufgabeErluterungmEinzugSek2">
    <w:name w:val="Aufgabe_Erläuterung_m_Einzug_Sek2"/>
    <w:basedOn w:val="Standard"/>
    <w:uiPriority w:val="16"/>
    <w:rsid w:val="00A0141C"/>
    <w:pPr>
      <w:spacing w:line="280" w:lineRule="exact"/>
      <w:ind w:left="284"/>
    </w:pPr>
    <w:rPr>
      <w:sz w:val="20"/>
      <w:szCs w:val="20"/>
    </w:rPr>
  </w:style>
  <w:style w:type="paragraph" w:customStyle="1" w:styleId="AufgabeAufzhlungmSpiegelstrichSek2">
    <w:name w:val="Aufgabe_Aufzählung_m_Spiegelstrich_Sek2"/>
    <w:basedOn w:val="AufgabeAufzhlungnummeriertSek2"/>
    <w:uiPriority w:val="14"/>
    <w:qFormat/>
    <w:locked/>
    <w:rsid w:val="00556E4D"/>
    <w:pPr>
      <w:numPr>
        <w:numId w:val="36"/>
      </w:numPr>
      <w:ind w:left="284" w:hanging="284"/>
    </w:pPr>
  </w:style>
  <w:style w:type="paragraph" w:customStyle="1" w:styleId="KopfzeileQuellegestrztSek2">
    <w:name w:val="Kopfzeile_Quelle_gestürzt_Sek2"/>
    <w:basedOn w:val="Standard"/>
    <w:uiPriority w:val="26"/>
    <w:qFormat/>
    <w:rsid w:val="0041397F"/>
    <w:rPr>
      <w:sz w:val="11"/>
    </w:rPr>
  </w:style>
  <w:style w:type="character" w:customStyle="1" w:styleId="GrauLsung">
    <w:name w:val="Grau_(Lösung)"/>
    <w:basedOn w:val="Absatz-Standardschriftart"/>
    <w:uiPriority w:val="23"/>
    <w:qFormat/>
    <w:rsid w:val="001E379A"/>
    <w:rPr>
      <w:color w:val="E6E6E6"/>
    </w:rPr>
  </w:style>
  <w:style w:type="paragraph" w:customStyle="1" w:styleId="FlietextSek2">
    <w:name w:val="Fließtext_Sek2"/>
    <w:uiPriority w:val="7"/>
    <w:qFormat/>
    <w:locked/>
    <w:rsid w:val="00681C8A"/>
    <w:pPr>
      <w:spacing w:line="260" w:lineRule="exact"/>
    </w:pPr>
    <w:rPr>
      <w:rFonts w:ascii="Arial" w:hAnsi="Arial"/>
      <w:sz w:val="18"/>
      <w:szCs w:val="24"/>
    </w:rPr>
  </w:style>
  <w:style w:type="paragraph" w:customStyle="1" w:styleId="FlietextAufzhlungmSpiegelstrichSek2">
    <w:name w:val="Fließtext_Aufzählung_m_Spiegelstrich_Sek2"/>
    <w:basedOn w:val="Standard"/>
    <w:uiPriority w:val="7"/>
    <w:qFormat/>
    <w:locked/>
    <w:rsid w:val="00681C8A"/>
    <w:pPr>
      <w:numPr>
        <w:numId w:val="39"/>
      </w:numPr>
      <w:spacing w:line="260" w:lineRule="exact"/>
      <w:ind w:left="284" w:hanging="284"/>
    </w:pPr>
    <w:rPr>
      <w:sz w:val="18"/>
      <w:szCs w:val="20"/>
    </w:rPr>
  </w:style>
  <w:style w:type="paragraph" w:customStyle="1" w:styleId="AufgabeUnteraufgabemabcSek2">
    <w:name w:val="Aufgabe_Unteraufgabe_m_a)_b)_c)_Sek2"/>
    <w:basedOn w:val="AufgabeUnteraufgabemSpiegelstrichSek2"/>
    <w:uiPriority w:val="18"/>
    <w:qFormat/>
    <w:locked/>
    <w:rsid w:val="005012BE"/>
    <w:pPr>
      <w:numPr>
        <w:numId w:val="40"/>
      </w:numPr>
      <w:ind w:left="568" w:hanging="284"/>
    </w:pPr>
  </w:style>
  <w:style w:type="paragraph" w:customStyle="1" w:styleId="AufgabeUnteraufgabemAufzhlungspunktSek2">
    <w:name w:val="Aufgabe_Unteraufgabe_m_Aufzählungspunkt_Sek2"/>
    <w:basedOn w:val="Standard"/>
    <w:uiPriority w:val="19"/>
    <w:qFormat/>
    <w:locked/>
    <w:rsid w:val="005012BE"/>
    <w:pPr>
      <w:numPr>
        <w:numId w:val="41"/>
      </w:numPr>
      <w:spacing w:before="120" w:line="280" w:lineRule="exact"/>
      <w:ind w:left="568" w:hanging="284"/>
      <w:contextualSpacing/>
    </w:pPr>
    <w:rPr>
      <w:sz w:val="20"/>
    </w:rPr>
  </w:style>
  <w:style w:type="paragraph" w:customStyle="1" w:styleId="LesetextBlocksatzSek2">
    <w:name w:val="Lesetext_Blocksatz_Sek2"/>
    <w:basedOn w:val="LesetextFlattersatzSek2"/>
    <w:uiPriority w:val="5"/>
    <w:rsid w:val="00BF5CE4"/>
    <w:pPr>
      <w:jc w:val="both"/>
    </w:pPr>
    <w:rPr>
      <w:szCs w:val="20"/>
    </w:rPr>
  </w:style>
  <w:style w:type="paragraph" w:customStyle="1" w:styleId="KopfzeileQuellegestrztSek1">
    <w:name w:val="Kopfzeile_Quelle_gestürzt_Sek1"/>
    <w:basedOn w:val="Standard"/>
    <w:uiPriority w:val="26"/>
    <w:qFormat/>
    <w:rsid w:val="00AE61ED"/>
    <w:rPr>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inland/vorfahren-forschung-1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eologie.culture.fr/lascaux/de/besichtigung-der-hoeh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BDE7-C5FA-41F0-9047-17C4A56C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6667CEDE.dotm</Template>
  <TotalTime>0</TotalTime>
  <Pages>2</Pages>
  <Words>735</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5858</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Miriam Stude [Friedrich Verlag GmbH]</cp:lastModifiedBy>
  <cp:revision>9</cp:revision>
  <cp:lastPrinted>2020-03-23T12:45:00Z</cp:lastPrinted>
  <dcterms:created xsi:type="dcterms:W3CDTF">2020-03-23T11:42:00Z</dcterms:created>
  <dcterms:modified xsi:type="dcterms:W3CDTF">2020-03-23T13:01:00Z</dcterms:modified>
  <cp:category>Autorentemplate</cp:category>
</cp:coreProperties>
</file>